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Nunito Sans" w:cs="Nunito Sans" w:eastAsia="Nunito Sans" w:hAnsi="Nunito Sans"/>
          <w:b/>
          <w:bCs/>
          <w:color w:val="004990"/>
          <w:sz w:val="44"/>
          <w:szCs w:val="44"/>
        </w:rPr>
        <w:t xml:space="preserve">Bim Group</w:t>
      </w:r>
    </w:p>
    <w:p>
      <w:pPr>
        <w:spacing w:after="30"/>
      </w:pPr>
      <w:r>
        <w:rPr>
          <w:rFonts w:ascii="Nunito Sans" w:cs="Nunito Sans" w:eastAsia="Nunito Sans" w:hAnsi="Nunito Sans"/>
          <w:color w:val="000000"/>
          <w:sz w:val="22"/>
          <w:szCs w:val="22"/>
        </w:rPr>
        <w:t xml:space="preserve">1151 Red Mile Road  •  Lexington, KY 40504</w:t>
      </w:r>
    </w:p>
    <w:p>
      <w:pPr>
        <w:spacing w:after="700"/>
      </w:pPr>
      <w:r>
        <w:rPr>
          <w:rFonts w:ascii="Nunito Sans" w:cs="Nunito Sans" w:eastAsia="Nunito Sans" w:hAnsi="Nunito Sans"/>
          <w:color w:val="000000"/>
          <w:sz w:val="22"/>
          <w:szCs w:val="22"/>
        </w:rPr>
        <w:t xml:space="preserve">(859) 255-9455</w:t>
      </w:r>
    </w:p>
    <w:p>
      <w:pPr>
        <w:spacing w:after="80"/>
      </w:pPr>
      <w:r>
        <w:rPr>
          <w:rFonts w:ascii="Nunito Sans" w:cs="Nunito Sans" w:eastAsia="Nunito Sans" w:hAnsi="Nunito Sans"/>
          <w:b/>
          <w:bCs/>
          <w:color w:val="004990"/>
          <w:sz w:val="56"/>
          <w:szCs w:val="56"/>
        </w:rPr>
        <w:t xml:space="preserve">Competitive Market Assessment (CMS)</w:t>
      </w:r>
    </w:p>
    <w:p>
      <w:pPr>
        <w:spacing w:after="80"/>
      </w:pPr>
      <w:r>
        <w:rPr>
          <w:rFonts w:ascii="Nunito Sans" w:cs="Nunito Sans" w:eastAsia="Nunito Sans" w:hAnsi="Nunito Sans"/>
          <w:color w:val="004990"/>
          <w:sz w:val="32"/>
          <w:szCs w:val="32"/>
        </w:rPr>
        <w:t xml:space="preserve">Response to Ephraim McDowell Health</w:t>
      </w:r>
    </w:p>
    <w:p>
      <w:pPr>
        <w:spacing w:after="700"/>
      </w:pPr>
      <w:r>
        <w:rPr>
          <w:rFonts w:ascii="Nunito Sans" w:cs="Nunito Sans" w:eastAsia="Nunito Sans" w:hAnsi="Nunito Sans"/>
          <w:color w:val="000000"/>
          <w:sz w:val="20"/>
          <w:szCs w:val="20"/>
        </w:rPr>
        <w:t xml:space="preserve">Prepared for Ephraim McDowell Health</w:t>
      </w:r>
    </w:p>
    <w:p>
      <w:pPr>
        <w:jc w:val="center"/>
      </w:pPr>
      <w:r>
        <w:drawing>
          <wp:inline distT="0" distB="0" distL="0" distR="0">
            <wp:extent cx="4457700" cy="2924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457700" cy="2924175"/>
                    </a:xfrm>
                    <a:prstGeom prst="rect">
                      <a:avLst/>
                    </a:prstGeom>
                  </pic:spPr>
                </pic:pic>
              </a:graphicData>
            </a:graphic>
          </wp:inline>
        </w:drawing>
      </w:r>
    </w:p>
    <w:p>
      <w:pPr>
        <w:sectPr>
          <w:headerReference w:type="default" r:id="rId7"/>
          <w:footerReference w:type="default" r:id="rId8"/>
          <w:pgSz w:w="12240" w:h="15840" w:orient="portrait"/>
          <w:pgMar w:top="1440" w:right="1440" w:bottom="1440" w:left="1440" w:header="0" w:footer="0" w:gutter="0"/>
          <w:pgNumType/>
          <w:titlePg/>
          <w:docGrid w:linePitch="360"/>
        </w:sectPr>
      </w:pPr>
    </w:p>
    <w:p>
      <w:pPr>
        <w:pStyle w:val="Heading1"/>
      </w:pPr>
      <w:r>
        <w:rPr>
          <w:rFonts w:ascii="Nunito Sans" w:cs="Nunito Sans" w:eastAsia="Nunito Sans" w:hAnsi="Nunito Sans"/>
        </w:rPr>
        <w:t xml:space="preserve">Table of Contents</w:t>
      </w:r>
    </w:p>
    <w:p/>
    <w:sdt>
      <w:sdtPr>
        <w:alias w:val="Table of Contents"/>
      </w:sdtPr>
      <w:sdtContent>
        <w:p>
          <w:r>
            <w:fldChar w:fldCharType="begin" w:dirty="true"/>
            <w:instrText xml:space="preserve">TOC \h \o "1-2"</w:instrText>
            <w:fldChar w:fldCharType="separate"/>
          </w:r>
        </w:p>
        <w:p>
          <w:r>
            <w:fldChar w:fldCharType="end"/>
          </w:r>
        </w:p>
      </w:sdtContent>
    </w:sdt>
    <w:p>
      <w:pPr>
        <w:sectPr>
          <w:headerReference w:type="default" r:id="rId9"/>
          <w:footerReference w:type="default" r:id="rId10"/>
          <w:type w:val="nextPage"/>
          <w:pgSz w:w="12240" w:h="15840" w:orient="portrait"/>
          <w:pgMar w:top="1260" w:right="1260" w:bottom="1260" w:left="1260" w:header="708" w:footer="708" w:gutter="0"/>
          <w:pgNumType/>
          <w:docGrid w:linePitch="360"/>
        </w:sectPr>
      </w:pPr>
    </w:p>
    <w:p>
      <w:pPr>
        <w:pStyle w:val="Heading1"/>
      </w:pPr>
      <w:r>
        <w:rPr>
          <w:rFonts w:ascii="Nunito Sans" w:cs="Nunito Sans" w:eastAsia="Nunito Sans" w:hAnsi="Nunito Sans"/>
        </w:rPr>
        <w:t xml:space="preserve">Competitive Market Assessment (CMS)</w:t>
      </w:r>
    </w:p>
    <w:p>
      <w:pPr>
        <w:pBdr>
          <w:bottom w:val="single" w:color="99FAFF" w:sz="8" w:space="8"/>
        </w:pBdr>
        <w:spacing w:after="60"/>
      </w:pPr>
      <w:r>
        <w:rPr>
          <w:rFonts w:ascii="Nunito Sans" w:cs="Nunito Sans" w:eastAsia="Nunito Sans" w:hAnsi="Nunito Sans"/>
          <w:color w:val="000000"/>
          <w:sz w:val="22"/>
          <w:szCs w:val="22"/>
        </w:rPr>
        <w:t xml:space="preserve">May 7, 2026</w:t>
      </w:r>
    </w:p>
    <w:p>
      <w:pPr>
        <w:pStyle w:val="Heading2"/>
      </w:pPr>
      <w:r>
        <w:rPr>
          <w:rFonts w:ascii="Nunito Sans" w:cs="Nunito Sans" w:eastAsia="Nunito Sans" w:hAnsi="Nunito Sans"/>
        </w:rPr>
        <w:t xml:space="preserve">I. INTRODUCTION</w:t>
      </w:r>
    </w:p>
    <w:p>
      <w:pPr>
        <w:spacing w:after="120"/>
      </w:pPr>
      <w:r>
        <w:rPr>
          <w:rFonts w:ascii="Nunito Sans" w:cs="Nunito Sans" w:eastAsia="Nunito Sans" w:hAnsi="Nunito Sans"/>
          <w:color w:val="000000"/>
          <w:sz w:val="22"/>
          <w:szCs w:val="22"/>
        </w:rPr>
        <w:t xml:space="preserve">This project seeks to review highly qualified insurance brokers to provide Insurance Risk and Employee Benefits brokerage and consulting for Ephraim McDowell Health (EMH) for its plan year beginning January 1, 2027.</w:t>
      </w:r>
    </w:p>
    <w:p>
      <w:pPr>
        <w:pStyle w:val="Heading3"/>
      </w:pPr>
      <w:r>
        <w:rPr>
          <w:rFonts w:ascii="Nunito Sans" w:cs="Nunito Sans" w:eastAsia="Nunito Sans" w:hAnsi="Nunito Sans"/>
        </w:rPr>
        <w:t xml:space="preserve">BACKGROUND</w:t>
      </w:r>
    </w:p>
    <w:p>
      <w:pPr>
        <w:spacing w:after="120"/>
      </w:pPr>
      <w:r>
        <w:rPr>
          <w:rFonts w:ascii="Nunito Sans" w:cs="Nunito Sans" w:eastAsia="Nunito Sans" w:hAnsi="Nunito Sans"/>
          <w:color w:val="000000"/>
          <w:sz w:val="22"/>
          <w:szCs w:val="22"/>
        </w:rPr>
        <w:t xml:space="preserve">The Ephraim McDowell Health system is a comprehensive, integrated healthcare delivery system that serves more than 150,000 residents from seven counties in central Kentucky. Ephraim McDowell Regional Medical Center is at the core of the system, a non-profit, 197-bed licensed hospital. Our other hospitals are Ephraim McDowell Fort Logan Hospital, a 25-bed critical access hospital located in neighboring Lincoln County (Stanford), and Ephraim McDowell James B. Haggin Hospital, a 25-bed critical access hospital located in neighboring Mercer County (Harrodsburg). Ephraim McDowell Health is committed to helping people live healthier through quality health care, trusting relationships, and providing value to the people we serve. We are a award winning hospital recognized for quality by Leapfrog, ACC, ELSO, KHA and numerous others.</w:t>
      </w:r>
    </w:p>
    <w:p>
      <w:pPr>
        <w:pStyle w:val="Heading3"/>
      </w:pPr>
      <w:r>
        <w:rPr>
          <w:rFonts w:ascii="Nunito Sans" w:cs="Nunito Sans" w:eastAsia="Nunito Sans" w:hAnsi="Nunito Sans"/>
        </w:rPr>
        <w:t xml:space="preserve">GOALS</w:t>
      </w:r>
    </w:p>
    <w:p>
      <w:pPr>
        <w:spacing w:after="40" w:before="40"/>
        <w:ind w:left="360"/>
      </w:pPr>
      <w:r>
        <w:rPr>
          <w:rFonts w:ascii="Nunito Sans" w:cs="Nunito Sans" w:eastAsia="Nunito Sans" w:hAnsi="Nunito Sans"/>
          <w:color w:val="000000"/>
          <w:sz w:val="22"/>
          <w:szCs w:val="22"/>
        </w:rPr>
        <w:t xml:space="preserve">A. Select a health and welfare (i.e., non-retirement savings benefit) employee benefits brokerage that will help differentiate EMH as a preferred employer in the healthcare market via its benefit offerings, including HR technology, modernized program design, impactful wellness support with a particular emphasis on whole health, e.g., physical, emotional, and financial well-being, and employee communication delivery. B</w:t>
      </w:r>
    </w:p>
    <w:p>
      <w:pPr>
        <w:spacing w:after="40" w:before="40"/>
        <w:ind w:left="360"/>
      </w:pPr>
      <w:r>
        <w:rPr>
          <w:rFonts w:ascii="Nunito Sans" w:cs="Nunito Sans" w:eastAsia="Nunito Sans" w:hAnsi="Nunito Sans"/>
          <w:color w:val="000000"/>
          <w:sz w:val="22"/>
          <w:szCs w:val="22"/>
        </w:rPr>
        <w:t xml:space="preserve">B. Ensure the organization’s brokerage arrangements are priced competitively and costs well managed.</w:t>
      </w:r>
    </w:p>
    <w:p>
      <w:pPr>
        <w:spacing w:after="40" w:before="40"/>
        <w:ind w:left="360"/>
      </w:pPr>
      <w:r>
        <w:rPr>
          <w:rFonts w:ascii="Nunito Sans" w:cs="Nunito Sans" w:eastAsia="Nunito Sans" w:hAnsi="Nunito Sans"/>
          <w:color w:val="000000"/>
          <w:sz w:val="22"/>
          <w:szCs w:val="22"/>
        </w:rPr>
        <w:t xml:space="preserve">C. Assemble a broker service team that can assist EMH in the execution of its open enrollment and onboarding processes.</w:t>
      </w:r>
    </w:p>
    <w:p>
      <w:pPr>
        <w:spacing w:after="40" w:before="40"/>
        <w:ind w:left="360"/>
      </w:pPr>
      <w:r>
        <w:rPr>
          <w:rFonts w:ascii="Nunito Sans" w:cs="Nunito Sans" w:eastAsia="Nunito Sans" w:hAnsi="Nunito Sans"/>
          <w:color w:val="000000"/>
          <w:sz w:val="22"/>
          <w:szCs w:val="22"/>
        </w:rPr>
        <w:t xml:space="preserve">D. Identify a broker partner that will proactively serve GHS in adjusting its benefits strategy with creative suggestions, benefits cost modeling and forecasting, and resolution of escalated member claim and third-party vendor performance issues.</w:t>
      </w:r>
    </w:p>
    <w:p>
      <w:pPr>
        <w:pStyle w:val="Heading3"/>
      </w:pPr>
      <w:r>
        <w:rPr>
          <w:rFonts w:ascii="Nunito Sans" w:cs="Nunito Sans" w:eastAsia="Nunito Sans" w:hAnsi="Nunito Sans"/>
        </w:rPr>
        <w:t xml:space="preserve">PROCESS</w:t>
      </w:r>
    </w:p>
    <w:p>
      <w:pPr>
        <w:spacing w:after="40" w:before="40"/>
        <w:ind w:left="360"/>
      </w:pPr>
      <w:r>
        <w:rPr>
          <w:rFonts w:ascii="Nunito Sans" w:cs="Nunito Sans" w:eastAsia="Nunito Sans" w:hAnsi="Nunito Sans"/>
          <w:color w:val="000000"/>
          <w:sz w:val="22"/>
          <w:szCs w:val="22"/>
        </w:rPr>
        <w:t xml:space="preserve">A. Awardee(s) shall work with EMH to establish an agreement based on their submitted response. EMH reserves the right to make multiple awards of this scope of service</w:t>
      </w:r>
    </w:p>
    <w:p>
      <w:pPr>
        <w:spacing w:after="40" w:before="40"/>
        <w:ind w:left="360"/>
      </w:pPr>
      <w:r>
        <w:rPr>
          <w:rFonts w:ascii="Nunito Sans" w:cs="Nunito Sans" w:eastAsia="Nunito Sans" w:hAnsi="Nunito Sans"/>
          <w:color w:val="000000"/>
          <w:sz w:val="22"/>
          <w:szCs w:val="22"/>
        </w:rPr>
        <w:t xml:space="preserve">B. Ephraim McDowell Health is NOT requesting insurance quotes currently and expressly prohibits prospective brokers from quoting or approaching carriers at this time.</w:t>
      </w:r>
    </w:p>
    <w:p>
      <w:pPr>
        <w:spacing w:after="40" w:before="40"/>
        <w:ind w:left="360"/>
      </w:pPr>
      <w:r>
        <w:rPr>
          <w:rFonts w:ascii="Nunito Sans" w:cs="Nunito Sans" w:eastAsia="Nunito Sans" w:hAnsi="Nunito Sans"/>
          <w:color w:val="000000"/>
          <w:sz w:val="22"/>
          <w:szCs w:val="22"/>
        </w:rPr>
        <w:t xml:space="preserve">C. Technical questions or requests for clarification shall be directed, in writing, to Melissa McCraw, Sr. Compensation/Benefits Analyst, Ephraim McDowell Health. Email: mmccraw@emhealth.org</w:t>
      </w:r>
    </w:p>
    <w:p>
      <w:pPr>
        <w:spacing w:after="40" w:before="40"/>
        <w:ind w:left="360"/>
      </w:pPr>
      <w:r>
        <w:rPr>
          <w:rFonts w:ascii="Nunito Sans" w:cs="Nunito Sans" w:eastAsia="Nunito Sans" w:hAnsi="Nunito Sans"/>
          <w:color w:val="000000"/>
          <w:sz w:val="22"/>
          <w:szCs w:val="22"/>
        </w:rPr>
        <w:t xml:space="preserve">D. Responses shall be evaluated based on the five below criteria.</w:t>
      </w:r>
    </w:p>
    <w:p>
      <w:pPr>
        <w:pStyle w:val="ListParagraph"/>
        <w:numPr>
          <w:ilvl w:val="0"/>
          <w:numId w:val="2"/>
        </w:numPr>
        <w:spacing w:after="50" w:before="50"/>
      </w:pPr>
      <w:r>
        <w:rPr>
          <w:rFonts w:ascii="Nunito Sans" w:cs="Nunito Sans" w:eastAsia="Nunito Sans" w:hAnsi="Nunito Sans"/>
          <w:color w:val="000000"/>
          <w:sz w:val="22"/>
          <w:szCs w:val="22"/>
        </w:rPr>
        <w:t xml:space="preserve">Value offering in strategy, plan design development and vendor management</w:t>
      </w:r>
    </w:p>
    <w:p>
      <w:pPr>
        <w:pStyle w:val="ListParagraph"/>
        <w:numPr>
          <w:ilvl w:val="0"/>
          <w:numId w:val="2"/>
        </w:numPr>
        <w:spacing w:after="50" w:before="50"/>
      </w:pPr>
      <w:r>
        <w:rPr>
          <w:rFonts w:ascii="Nunito Sans" w:cs="Nunito Sans" w:eastAsia="Nunito Sans" w:hAnsi="Nunito Sans"/>
          <w:color w:val="000000"/>
          <w:sz w:val="22"/>
          <w:szCs w:val="22"/>
        </w:rPr>
        <w:t xml:space="preserve">Comprehensiveness of service support offered in open enrollment, product implementation, issue resolution, analytics, reporting and compliance</w:t>
      </w:r>
    </w:p>
    <w:p>
      <w:pPr>
        <w:pStyle w:val="ListParagraph"/>
        <w:numPr>
          <w:ilvl w:val="0"/>
          <w:numId w:val="2"/>
        </w:numPr>
        <w:spacing w:after="50" w:before="50"/>
      </w:pPr>
      <w:r>
        <w:rPr>
          <w:rFonts w:ascii="Nunito Sans" w:cs="Nunito Sans" w:eastAsia="Nunito Sans" w:hAnsi="Nunito Sans"/>
          <w:color w:val="000000"/>
          <w:sz w:val="22"/>
          <w:szCs w:val="22"/>
        </w:rPr>
        <w:t xml:space="preserve">Fees and transparency</w:t>
      </w:r>
    </w:p>
    <w:p>
      <w:pPr>
        <w:pStyle w:val="ListParagraph"/>
        <w:numPr>
          <w:ilvl w:val="0"/>
          <w:numId w:val="2"/>
        </w:numPr>
        <w:spacing w:after="50" w:before="50"/>
      </w:pPr>
      <w:r>
        <w:rPr>
          <w:rFonts w:ascii="Nunito Sans" w:cs="Nunito Sans" w:eastAsia="Nunito Sans" w:hAnsi="Nunito Sans"/>
          <w:color w:val="000000"/>
          <w:sz w:val="22"/>
          <w:szCs w:val="22"/>
        </w:rPr>
        <w:t xml:space="preserve">Analytics, capabilities and optional services</w:t>
      </w:r>
    </w:p>
    <w:p>
      <w:pPr>
        <w:pStyle w:val="ListParagraph"/>
        <w:numPr>
          <w:ilvl w:val="0"/>
          <w:numId w:val="2"/>
        </w:numPr>
        <w:spacing w:after="50" w:before="50"/>
      </w:pPr>
      <w:r>
        <w:rPr>
          <w:rFonts w:ascii="Nunito Sans" w:cs="Nunito Sans" w:eastAsia="Nunito Sans" w:hAnsi="Nunito Sans"/>
          <w:color w:val="000000"/>
          <w:sz w:val="22"/>
          <w:szCs w:val="22"/>
        </w:rPr>
        <w:t xml:space="preserve">Other. Quality of CMA response, service team, other capabilities</w:t>
      </w:r>
    </w:p>
    <w:p>
      <w:pPr>
        <w:spacing w:after="40" w:before="40"/>
        <w:ind w:left="360"/>
      </w:pPr>
      <w:r>
        <w:rPr>
          <w:rFonts w:ascii="Nunito Sans" w:cs="Nunito Sans" w:eastAsia="Nunito Sans" w:hAnsi="Nunito Sans"/>
          <w:color w:val="000000"/>
          <w:sz w:val="22"/>
          <w:szCs w:val="22"/>
        </w:rPr>
        <w:t xml:space="preserve">E. TIMELINE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00"/>
        <w:gridCol w:w="6060"/>
      </w:tblGrid>
      <w:tr>
        <w:tc>
          <w:tcPr>
            <w:tcW w:type="dxa" w:w="3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b/>
                <w:bCs/>
                <w:color w:val="004990"/>
                <w:sz w:val="22"/>
                <w:szCs w:val="22"/>
              </w:rPr>
              <w:t xml:space="preserve">Tuesday, May 12, 2026</w:t>
            </w:r>
          </w:p>
        </w:tc>
        <w:tc>
          <w:tcPr>
            <w:tcW w:type="dxa" w:w="60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Deadline to submit questions via email</w:t>
            </w:r>
          </w:p>
        </w:tc>
      </w:tr>
      <w:tr>
        <w:tc>
          <w:tcPr>
            <w:tcW w:type="dxa" w:w="3300"/>
            <w:tcBorders>
              <w:top w:val="single" w:color="D6D8D8" w:sz="1"/>
              <w:left w:val="single" w:color="D6D8D8" w:sz="1"/>
              <w:bottom w:val="single" w:color="D6D8D8" w:sz="1"/>
              <w:right w:val="single" w:color="D6D8D8" w:sz="1"/>
            </w:tcBorders>
            <w:shd w:fill="D6D8D8" w:val="clear"/>
            <w:tcMar>
              <w:top w:type="dxa" w:w="120"/>
              <w:left w:type="dxa" w:w="120"/>
              <w:bottom w:type="dxa" w:w="120"/>
              <w:right w:type="dxa" w:w="120"/>
            </w:tcMar>
          </w:tcPr>
          <w:p>
            <w:r>
              <w:rPr>
                <w:rFonts w:ascii="Nunito Sans" w:cs="Nunito Sans" w:eastAsia="Nunito Sans" w:hAnsi="Nunito Sans"/>
                <w:b/>
                <w:bCs/>
                <w:color w:val="004990"/>
                <w:sz w:val="22"/>
                <w:szCs w:val="22"/>
              </w:rPr>
              <w:t xml:space="preserve">Monday, June 1, 2025 5:00PM EDT</w:t>
            </w:r>
          </w:p>
        </w:tc>
        <w:tc>
          <w:tcPr>
            <w:tcW w:type="dxa" w:w="6060"/>
            <w:tcBorders>
              <w:top w:val="single" w:color="D6D8D8" w:sz="1"/>
              <w:left w:val="single" w:color="D6D8D8" w:sz="1"/>
              <w:bottom w:val="single" w:color="D6D8D8" w:sz="1"/>
              <w:right w:val="single" w:color="D6D8D8" w:sz="1"/>
            </w:tcBorders>
            <w:shd w:fill="D6D8D8" w:val="clear"/>
            <w:tcMar>
              <w:top w:type="dxa" w:w="120"/>
              <w:left w:type="dxa" w:w="120"/>
              <w:bottom w:type="dxa" w:w="120"/>
              <w:right w:type="dxa" w:w="120"/>
            </w:tcMar>
          </w:tcPr>
          <w:p>
            <w:r>
              <w:rPr>
                <w:rFonts w:ascii="Nunito Sans" w:cs="Nunito Sans" w:eastAsia="Nunito Sans" w:hAnsi="Nunito Sans"/>
                <w:color w:val="000000"/>
                <w:sz w:val="22"/>
                <w:szCs w:val="22"/>
              </w:rPr>
              <w:t xml:space="preserve">Responses due</w:t>
            </w:r>
          </w:p>
        </w:tc>
      </w:tr>
      <w:tr>
        <w:tc>
          <w:tcPr>
            <w:tcW w:type="dxa" w:w="3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b/>
                <w:bCs/>
                <w:color w:val="004990"/>
                <w:sz w:val="22"/>
                <w:szCs w:val="22"/>
              </w:rPr>
              <w:t xml:space="preserve">Thursday, June 11, 2026</w:t>
            </w:r>
          </w:p>
        </w:tc>
        <w:tc>
          <w:tcPr>
            <w:tcW w:type="dxa" w:w="60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Finalist interviews begin (as necessary)</w:t>
            </w:r>
          </w:p>
        </w:tc>
      </w:tr>
      <w:tr>
        <w:tc>
          <w:tcPr>
            <w:tcW w:type="dxa" w:w="3300"/>
            <w:tcBorders>
              <w:top w:val="single" w:color="D6D8D8" w:sz="1"/>
              <w:left w:val="single" w:color="D6D8D8" w:sz="1"/>
              <w:bottom w:val="single" w:color="D6D8D8" w:sz="1"/>
              <w:right w:val="single" w:color="D6D8D8" w:sz="1"/>
            </w:tcBorders>
            <w:shd w:fill="D6D8D8" w:val="clear"/>
            <w:tcMar>
              <w:top w:type="dxa" w:w="120"/>
              <w:left w:type="dxa" w:w="120"/>
              <w:bottom w:type="dxa" w:w="120"/>
              <w:right w:type="dxa" w:w="120"/>
            </w:tcMar>
          </w:tcPr>
          <w:p>
            <w:r>
              <w:rPr>
                <w:rFonts w:ascii="Nunito Sans" w:cs="Nunito Sans" w:eastAsia="Nunito Sans" w:hAnsi="Nunito Sans"/>
                <w:b/>
                <w:bCs/>
                <w:color w:val="004990"/>
                <w:sz w:val="22"/>
                <w:szCs w:val="22"/>
              </w:rPr>
              <w:t xml:space="preserve">Wednesday, July 8, 2026</w:t>
            </w:r>
          </w:p>
        </w:tc>
        <w:tc>
          <w:tcPr>
            <w:tcW w:type="dxa" w:w="6060"/>
            <w:tcBorders>
              <w:top w:val="single" w:color="D6D8D8" w:sz="1"/>
              <w:left w:val="single" w:color="D6D8D8" w:sz="1"/>
              <w:bottom w:val="single" w:color="D6D8D8" w:sz="1"/>
              <w:right w:val="single" w:color="D6D8D8" w:sz="1"/>
            </w:tcBorders>
            <w:shd w:fill="D6D8D8" w:val="clear"/>
            <w:tcMar>
              <w:top w:type="dxa" w:w="120"/>
              <w:left w:type="dxa" w:w="120"/>
              <w:bottom w:type="dxa" w:w="120"/>
              <w:right w:type="dxa" w:w="120"/>
            </w:tcMar>
          </w:tcPr>
          <w:p>
            <w:r>
              <w:rPr>
                <w:rFonts w:ascii="Nunito Sans" w:cs="Nunito Sans" w:eastAsia="Nunito Sans" w:hAnsi="Nunito Sans"/>
                <w:color w:val="000000"/>
                <w:sz w:val="22"/>
                <w:szCs w:val="22"/>
              </w:rPr>
              <w:t xml:space="preserve">Selection.  Contracting begins</w:t>
            </w:r>
          </w:p>
        </w:tc>
      </w:tr>
    </w:tbl>
    <w:p>
      <w:pPr>
        <w:pStyle w:val="Heading3"/>
      </w:pPr>
      <w:r>
        <w:rPr>
          <w:rFonts w:ascii="Nunito Sans" w:cs="Nunito Sans" w:eastAsia="Nunito Sans" w:hAnsi="Nunito Sans"/>
        </w:rPr>
        <w:t xml:space="preserve">INSTRUCTIONS</w:t>
      </w:r>
    </w:p>
    <w:p>
      <w:pPr>
        <w:spacing w:after="40" w:before="40"/>
        <w:ind w:left="360"/>
      </w:pPr>
      <w:r>
        <w:rPr>
          <w:rFonts w:ascii="Nunito Sans" w:cs="Nunito Sans" w:eastAsia="Nunito Sans" w:hAnsi="Nunito Sans"/>
          <w:color w:val="000000"/>
          <w:sz w:val="22"/>
          <w:szCs w:val="22"/>
        </w:rPr>
        <w:t xml:space="preserve">A. Respond to questions as directly as possible in the space provided. Specifics and examples will facilitate higher scoring. Example work products and case study attachments are encouraged. Additional promotional material may be included.</w:t>
      </w:r>
    </w:p>
    <w:p>
      <w:pPr>
        <w:spacing w:after="40" w:before="40"/>
        <w:ind w:left="360"/>
      </w:pPr>
      <w:r>
        <w:rPr>
          <w:rFonts w:ascii="Nunito Sans" w:cs="Nunito Sans" w:eastAsia="Nunito Sans" w:hAnsi="Nunito Sans"/>
          <w:color w:val="000000"/>
          <w:sz w:val="22"/>
          <w:szCs w:val="22"/>
        </w:rPr>
        <w:t xml:space="preserve">B. Responses must be emailed and received no later than the stated deadline above. It is the responsibility of the sender to confirm with Ephraim McDowell Health that the electronic copy was received. Proposals not received prior to the date and time specified will not be considered.</w:t>
      </w:r>
    </w:p>
    <w:p>
      <w:pPr>
        <w:spacing w:after="40" w:before="40"/>
        <w:ind w:left="360"/>
      </w:pPr>
      <w:r>
        <w:rPr>
          <w:rFonts w:ascii="Nunito Sans" w:cs="Nunito Sans" w:eastAsia="Nunito Sans" w:hAnsi="Nunito Sans"/>
          <w:color w:val="000000"/>
          <w:sz w:val="22"/>
          <w:szCs w:val="22"/>
        </w:rPr>
        <w:t xml:space="preserve">C. Submissions will be construed to imply agreement in advance to the services outlined in the enclosed materials. The proposal package should be kept as brief as possible, however, with the subject areas clearly defined.</w:t>
      </w:r>
    </w:p>
    <w:p>
      <w:pPr>
        <w:pBdr>
          <w:bottom w:val="single" w:color="99FAFF" w:sz="6" w:space="1"/>
        </w:pBdr>
        <w:spacing w:before="120"/>
      </w:pPr>
    </w:p>
    <w:p>
      <w:pPr>
        <w:pStyle w:val="Heading2"/>
      </w:pPr>
      <w:r>
        <w:rPr>
          <w:rFonts w:ascii="Nunito Sans" w:cs="Nunito Sans" w:eastAsia="Nunito Sans" w:hAnsi="Nunito Sans"/>
        </w:rPr>
        <w:t xml:space="preserve">II. SCOPE OF SERVICES*</w:t>
      </w:r>
    </w:p>
    <w:p>
      <w:pPr>
        <w:spacing w:after="120"/>
      </w:pPr>
      <w:r>
        <w:rPr>
          <w:rFonts w:ascii="Nunito Sans" w:cs="Nunito Sans" w:eastAsia="Nunito Sans" w:hAnsi="Nunito Sans"/>
          <w:color w:val="000000"/>
          <w:sz w:val="22"/>
          <w:szCs w:val="22"/>
        </w:rPr>
        <w:t xml:space="preserve">Below confirm services that will be provided. Add a few sentences of description. Attachments may be referenced, but not without a summary description entered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430"/>
        <w:gridCol w:w="430"/>
        <w:gridCol w:w="4940"/>
        <w:gridCol w:w="1660"/>
      </w:tblGrid>
      <w:tr>
        <w:trPr>
          <w:tblHeader/>
        </w:trPr>
        <w:tc>
          <w:tcPr>
            <w:tcW w:type="dxa" w:w="1900"/>
            <w:tcBorders>
              <w:top w:val="single" w:color="D6D8D8" w:sz="1"/>
              <w:left w:val="single" w:color="D6D8D8" w:sz="1"/>
              <w:bottom w:val="single" w:color="D6D8D8" w:sz="1"/>
              <w:right w:val="single" w:color="D6D8D8" w:sz="1"/>
            </w:tcBorders>
            <w:shd w:fill="004990" w:val="clear"/>
            <w:tcMar>
              <w:top w:type="dxa" w:w="120"/>
              <w:left w:type="dxa" w:w="160"/>
              <w:bottom w:type="dxa" w:w="120"/>
              <w:right w:type="dxa" w:w="160"/>
            </w:tcMar>
          </w:tcPr>
          <w:p>
            <w:r>
              <w:rPr>
                <w:rFonts w:ascii="Nunito Sans" w:cs="Nunito Sans" w:eastAsia="Nunito Sans" w:hAnsi="Nunito Sans"/>
                <w:b/>
                <w:bCs/>
                <w:color w:val="FFFFFF"/>
                <w:sz w:val="20"/>
                <w:szCs w:val="20"/>
              </w:rPr>
              <w:t xml:space="preserve">Question</w:t>
            </w:r>
          </w:p>
        </w:tc>
        <w:tc>
          <w:tcPr>
            <w:tcW w:type="dxa" w:w="430"/>
            <w:tcBorders>
              <w:top w:val="single" w:color="D6D8D8" w:sz="1"/>
              <w:left w:val="single" w:color="D6D8D8" w:sz="1"/>
              <w:bottom w:val="single" w:color="D6D8D8" w:sz="1"/>
              <w:right w:val="single" w:color="D6D8D8" w:sz="1"/>
            </w:tcBorders>
            <w:shd w:fill="004990" w:val="clear"/>
            <w:tcMar>
              <w:top w:type="dxa" w:w="120"/>
              <w:left w:type="dxa" w:w="160"/>
              <w:bottom w:type="dxa" w:w="120"/>
              <w:right w:type="dxa" w:w="160"/>
            </w:tcMar>
          </w:tcPr>
          <w:p>
            <w:r>
              <w:rPr>
                <w:rFonts w:ascii="Nunito Sans" w:cs="Nunito Sans" w:eastAsia="Nunito Sans" w:hAnsi="Nunito Sans"/>
                <w:b/>
                <w:bCs/>
                <w:color w:val="FFFFFF"/>
                <w:sz w:val="20"/>
                <w:szCs w:val="20"/>
              </w:rPr>
              <w:t xml:space="preserve">Y</w:t>
            </w:r>
          </w:p>
        </w:tc>
        <w:tc>
          <w:tcPr>
            <w:tcW w:type="dxa" w:w="430"/>
            <w:tcBorders>
              <w:top w:val="single" w:color="D6D8D8" w:sz="1"/>
              <w:left w:val="single" w:color="D6D8D8" w:sz="1"/>
              <w:bottom w:val="single" w:color="D6D8D8" w:sz="1"/>
              <w:right w:val="single" w:color="D6D8D8" w:sz="1"/>
            </w:tcBorders>
            <w:shd w:fill="004990" w:val="clear"/>
            <w:tcMar>
              <w:top w:type="dxa" w:w="120"/>
              <w:left w:type="dxa" w:w="160"/>
              <w:bottom w:type="dxa" w:w="120"/>
              <w:right w:type="dxa" w:w="160"/>
            </w:tcMar>
          </w:tcPr>
          <w:p>
            <w:r>
              <w:rPr>
                <w:rFonts w:ascii="Nunito Sans" w:cs="Nunito Sans" w:eastAsia="Nunito Sans" w:hAnsi="Nunito Sans"/>
                <w:b/>
                <w:bCs/>
                <w:color w:val="FFFFFF"/>
                <w:sz w:val="20"/>
                <w:szCs w:val="20"/>
              </w:rPr>
              <w:t xml:space="preserve">N</w:t>
            </w:r>
          </w:p>
        </w:tc>
        <w:tc>
          <w:tcPr>
            <w:tcW w:type="dxa" w:w="4940"/>
            <w:tcBorders>
              <w:top w:val="single" w:color="D6D8D8" w:sz="1"/>
              <w:left w:val="single" w:color="D6D8D8" w:sz="1"/>
              <w:bottom w:val="single" w:color="D6D8D8" w:sz="1"/>
              <w:right w:val="single" w:color="D6D8D8" w:sz="1"/>
            </w:tcBorders>
            <w:shd w:fill="004990" w:val="clear"/>
            <w:tcMar>
              <w:top w:type="dxa" w:w="120"/>
              <w:left w:type="dxa" w:w="160"/>
              <w:bottom w:type="dxa" w:w="120"/>
              <w:right w:type="dxa" w:w="160"/>
            </w:tcMar>
          </w:tcPr>
          <w:p>
            <w:r>
              <w:rPr>
                <w:rFonts w:ascii="Nunito Sans" w:cs="Nunito Sans" w:eastAsia="Nunito Sans" w:hAnsi="Nunito Sans"/>
                <w:b/>
                <w:bCs/>
                <w:color w:val="FFFFFF"/>
                <w:sz w:val="20"/>
                <w:szCs w:val="20"/>
              </w:rPr>
              <w:t xml:space="preserve">Description</w:t>
            </w:r>
          </w:p>
        </w:tc>
        <w:tc>
          <w:tcPr>
            <w:tcW w:type="dxa" w:w="1660"/>
            <w:tcBorders>
              <w:top w:val="single" w:color="D6D8D8" w:sz="1"/>
              <w:left w:val="single" w:color="D6D8D8" w:sz="1"/>
              <w:bottom w:val="single" w:color="D6D8D8" w:sz="1"/>
              <w:right w:val="single" w:color="D6D8D8" w:sz="1"/>
            </w:tcBorders>
            <w:shd w:fill="004990" w:val="clear"/>
            <w:tcMar>
              <w:top w:type="dxa" w:w="120"/>
              <w:left w:type="dxa" w:w="160"/>
              <w:bottom w:type="dxa" w:w="120"/>
              <w:right w:type="dxa" w:w="160"/>
            </w:tcMar>
          </w:tcPr>
          <w:p>
            <w:r>
              <w:rPr>
                <w:rFonts w:ascii="Nunito Sans" w:cs="Nunito Sans" w:eastAsia="Nunito Sans" w:hAnsi="Nunito Sans"/>
                <w:b/>
                <w:bCs/>
                <w:color w:val="FFFFFF"/>
                <w:sz w:val="20"/>
                <w:szCs w:val="20"/>
              </w:rPr>
              <w:t xml:space="preserve">Exhibits</w:t>
            </w:r>
          </w:p>
        </w:tc>
      </w:tr>
      <w:tr>
        <w:tc>
          <w:tcPr>
            <w:tcW w:type="dxa" w:w="9360"/>
            <w:gridSpan w:val="5"/>
            <w:tcBorders>
              <w:top w:val="single" w:color="D6D8D8" w:sz="1"/>
              <w:left w:val="single" w:color="D6D8D8" w:sz="1"/>
              <w:bottom w:val="single" w:color="D6D8D8" w:sz="1"/>
              <w:right w:val="single" w:color="D6D8D8" w:sz="1"/>
            </w:tcBorders>
            <w:shd w:fill="D6D8D8" w:val="clear"/>
            <w:tcMar>
              <w:top w:type="dxa" w:w="120"/>
              <w:left w:type="dxa" w:w="160"/>
              <w:bottom w:type="dxa" w:w="120"/>
              <w:right w:type="dxa" w:w="160"/>
            </w:tcMar>
          </w:tcPr>
          <w:p>
            <w:r>
              <w:rPr>
                <w:rFonts w:ascii="Nunito Sans" w:cs="Nunito Sans" w:eastAsia="Nunito Sans" w:hAnsi="Nunito Sans"/>
                <w:b/>
                <w:bCs/>
                <w:color w:val="004990"/>
                <w:sz w:val="22"/>
                <w:szCs w:val="22"/>
              </w:rPr>
              <w:t xml:space="preserve">A.  Overall Administrative &amp; Compliance</w:t>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1. Assist with budget projections of plan expense and track costs of current plan year expenses?</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Bim Group provides monthly financial reporting that includes year-to-date budget performance, high-cost member tracking, stop loss tracking, domestic and non-domestic utilization (for healthcare clients), and historical plan trends. We deliver budget projections (plan and fiscal year), reserve estimates, and renewal outlooks on a cadence agreed with EMH. Based on EMH's timing preferences, we also provide utilization trend analysis, PEPM claim benchmarking, member risk-adjusted scoring, cohort reporting, and wellness metrics.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40"/>
            </w:pPr>
            <w:r>
              <w:rPr>
                <w:rFonts w:ascii="Nunito Sans" w:cs="Nunito Sans" w:eastAsia="Nunito Sans" w:hAnsi="Nunito Sans"/>
                <w:color w:val="000000"/>
                <w:sz w:val="18"/>
                <w:szCs w:val="18"/>
              </w:rPr>
              <w:t xml:space="preserve">Renewal Projection</w:t>
            </w:r>
          </w:p>
          <w:p>
            <w:pPr>
              <w:spacing w:after="40"/>
            </w:pPr>
            <w:r>
              <w:rPr>
                <w:rFonts w:ascii="Nunito Sans" w:cs="Nunito Sans" w:eastAsia="Nunito Sans" w:hAnsi="Nunito Sans"/>
                <w:color w:val="000000"/>
                <w:sz w:val="18"/>
                <w:szCs w:val="18"/>
              </w:rPr>
              <w:t xml:space="preserve">Bim Group - Reserve Estimate</w:t>
            </w:r>
          </w:p>
          <w:p>
            <w:pPr>
              <w:spacing w:after="40"/>
            </w:pPr>
            <w:r>
              <w:rPr>
                <w:rFonts w:ascii="Nunito Sans" w:cs="Nunito Sans" w:eastAsia="Nunito Sans" w:hAnsi="Nunito Sans"/>
                <w:color w:val="000000"/>
                <w:sz w:val="18"/>
                <w:szCs w:val="18"/>
              </w:rPr>
              <w:t xml:space="preserve">Claros Analytics - Reserve Estimate</w:t>
            </w:r>
          </w:p>
          <w:p>
            <w:pPr>
              <w:spacing w:after="40"/>
            </w:pPr>
            <w:r>
              <w:rPr>
                <w:rFonts w:ascii="Nunito Sans" w:cs="Nunito Sans" w:eastAsia="Nunito Sans" w:hAnsi="Nunito Sans"/>
                <w:color w:val="000000"/>
                <w:sz w:val="18"/>
                <w:szCs w:val="18"/>
              </w:rPr>
              <w:t xml:space="preserve">Monthly Financial Dashboards</w:t>
            </w:r>
          </w:p>
          <w:p>
            <w:pPr>
              <w:spacing w:after="40"/>
            </w:pPr>
            <w:r>
              <w:rPr>
                <w:rFonts w:ascii="Nunito Sans" w:cs="Nunito Sans" w:eastAsia="Nunito Sans" w:hAnsi="Nunito Sans"/>
                <w:color w:val="000000"/>
                <w:sz w:val="18"/>
                <w:szCs w:val="18"/>
              </w:rPr>
              <w:t xml:space="preserve">Monthly Financial Summary</w:t>
            </w:r>
          </w:p>
          <w:p>
            <w:pPr>
              <w:spacing w:after="0"/>
            </w:pPr>
            <w:r>
              <w:rPr>
                <w:rFonts w:ascii="Nunito Sans" w:cs="Nunito Sans" w:eastAsia="Nunito Sans" w:hAnsi="Nunito Sans"/>
                <w:color w:val="000000"/>
                <w:sz w:val="18"/>
                <w:szCs w:val="18"/>
              </w:rPr>
              <w:t xml:space="preserve">Cedar Gate - Plan Utilization Summary</w:t>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2. Advise and update EMH with timely legislature updates?</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60"/>
            </w:pPr>
            <w:r>
              <w:rPr>
                <w:rFonts w:ascii="Nunito Sans" w:cs="Nunito Sans" w:eastAsia="Nunito Sans" w:hAnsi="Nunito Sans"/>
                <w:color w:val="000000"/>
                <w:sz w:val="22"/>
                <w:szCs w:val="22"/>
              </w:rPr>
              <w:t xml:space="preserve">Our team provides proactive, ongoing support to help clients navigate the constantly evolving federal and state regulatory landscape for employee benefits and HR. Beyond monitoring emerging legislation and regulatory developments, our consultants issue legislative and compliance updates at least every two weeks (see exhibit Legislative Updates), keeping clients informed of new requirements, deadlines, and potential impacts to their benefit programs and employment practices.</w:t>
            </w:r>
          </w:p>
          <w:p>
            <w:pPr>
              <w:spacing w:after="0"/>
            </w:pPr>
            <w:r>
              <w:rPr>
                <w:rFonts w:ascii="Nunito Sans" w:cs="Nunito Sans" w:eastAsia="Nunito Sans" w:hAnsi="Nunito Sans"/>
                <w:color w:val="000000"/>
                <w:sz w:val="22"/>
                <w:szCs w:val="22"/>
              </w:rPr>
              <w:t xml:space="preserve">Clients also have access to HR-focused compliance resources, including state-specific legislative information, regulatory summaries, notices, and practical guidance for multi-state compliance. These resources help HR teams stay current on changing obligations related to employee benefits, leave laws, pay transparency, ACA, and other compliance requirements.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18"/>
                <w:szCs w:val="18"/>
              </w:rPr>
              <w:t xml:space="preserve">Legislative Updates</w:t>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3. Review all plan and carrier documents for compliance with all state and federal laws?</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Bim Group performs an annual compliance review of all plan documents, SPDs, carrier contracts, and wrap documents. Led by our Compliance Consultant, we flag discrepancies, recommend corrective language, and coordinate with legal counsel as needed.</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18"/>
                <w:szCs w:val="18"/>
              </w:rPr>
              <w:t xml:space="preserve">Annual Compliance Calendar</w:t>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4. Assist in the preparation of Form 5500 and Summary Annual Reports?</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60"/>
            </w:pPr>
            <w:r>
              <w:rPr>
                <w:rFonts w:ascii="Nunito Sans" w:cs="Nunito Sans" w:eastAsia="Nunito Sans" w:hAnsi="Nunito Sans"/>
                <w:color w:val="000000"/>
                <w:sz w:val="22"/>
                <w:szCs w:val="22"/>
              </w:rPr>
              <w:t xml:space="preserve">Our compliance services include end-to-end coordination and support for the Form 5500 filing process for applicable benefit plans. We gather and review required documentation, such as Schedule A information from carriers and vendors, to ensure timely and accurate filings, and we monitor key compliance deadlines throughout the process.</w:t>
            </w:r>
          </w:p>
          <w:p>
            <w:pPr>
              <w:spacing w:after="0"/>
            </w:pPr>
            <w:r>
              <w:rPr>
                <w:rFonts w:ascii="Nunito Sans" w:cs="Nunito Sans" w:eastAsia="Nunito Sans" w:hAnsi="Nunito Sans"/>
                <w:color w:val="000000"/>
                <w:sz w:val="22"/>
                <w:szCs w:val="22"/>
              </w:rPr>
              <w:t xml:space="preserve">If preferred, our Compliance Consultant will prepare a consolidated 5500 at no additional fee. Submission occurs through electronic filing via the plan administrator's electronic signature using the DOL EFAST2 system. We coordinate the filing and provide guidance on required supporting documentation and filing obligations. We also support preparation of Summary Annual Reports (SARs) and provide detailed participant distribution instructions to help ensure compliance with ERISA disclosure requirements and applicable timing standards.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5. Assist with Cobra benefits management post employee termination?</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60"/>
            </w:pPr>
            <w:r>
              <w:rPr>
                <w:rFonts w:ascii="Nunito Sans" w:cs="Nunito Sans" w:eastAsia="Nunito Sans" w:hAnsi="Nunito Sans"/>
                <w:color w:val="000000"/>
                <w:sz w:val="22"/>
                <w:szCs w:val="22"/>
              </w:rPr>
              <w:t xml:space="preserve">Through our concierge-level service model, we support HR contacts and employees by helping them navigate COBRA-related questions, clarifying processes and timelines, and directing individuals efficiently to the appropriate administrator resources for resolution. When issues arise that may affect coverage continuity or participant experience, we facilitate communication between the employer, carrier partners, and COBRA administrator.</w:t>
            </w:r>
          </w:p>
          <w:p>
            <w:pPr>
              <w:spacing w:after="0"/>
            </w:pPr>
            <w:r>
              <w:rPr>
                <w:rFonts w:ascii="Nunito Sans" w:cs="Nunito Sans" w:eastAsia="Nunito Sans" w:hAnsi="Nunito Sans"/>
                <w:color w:val="000000"/>
                <w:sz w:val="22"/>
                <w:szCs w:val="22"/>
              </w:rPr>
              <w:t xml:space="preserve">Our team also serves as an escalation and strategic support resource for more complex COBRA matters, including eligibility determinations, qualifying event interpretation, election timing, premium payment disputes, coverage reinstatement, and coordination issues affecting active or terminated coverage. We work proactively with all parties to support accurate administration, minimize disruption, and help maintain compliance with applicable COBRA regulations and notification requirements.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9360"/>
            <w:gridSpan w:val="5"/>
            <w:tcBorders>
              <w:top w:val="single" w:color="D6D8D8" w:sz="1"/>
              <w:left w:val="single" w:color="D6D8D8" w:sz="1"/>
              <w:bottom w:val="single" w:color="D6D8D8" w:sz="1"/>
              <w:right w:val="single" w:color="D6D8D8" w:sz="1"/>
            </w:tcBorders>
            <w:shd w:fill="D6D8D8" w:val="clear"/>
            <w:tcMar>
              <w:top w:type="dxa" w:w="120"/>
              <w:left w:type="dxa" w:w="160"/>
              <w:bottom w:type="dxa" w:w="120"/>
              <w:right w:type="dxa" w:w="160"/>
            </w:tcMar>
          </w:tcPr>
          <w:p>
            <w:r>
              <w:rPr>
                <w:rFonts w:ascii="Nunito Sans" w:cs="Nunito Sans" w:eastAsia="Nunito Sans" w:hAnsi="Nunito Sans"/>
                <w:b/>
                <w:bCs/>
                <w:color w:val="004990"/>
                <w:sz w:val="22"/>
                <w:szCs w:val="22"/>
              </w:rPr>
              <w:t xml:space="preserve">B.  Strategic</w:t>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1. Collaborate with EMH to set and revise strategic objectives in Health and Wellness?</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As part of our five-stage plan management process, we lead an annual strategic planning session with EMH leadership to align on multi-year objectives, cost targets, and workforce health priorities. We document strategic objectives and revisit them at each governance meeting.</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18"/>
                <w:szCs w:val="18"/>
              </w:rPr>
              <w:t xml:space="preserve">Bim Group Proven Process</w:t>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2. Evaluate administrative and operational practices as it relates to Health and Wellness?</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Bim Group conducts periodic operational assessments of benefits administration, wellness compliance, enrollment processes, and vendor performance. We present findings with actionable recommendations, prioritized by impact and feasibility.</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3. Evaluate plan design elements annually and provide advice on modifications to enhance competitiveness and/ or cost efficiencies in the benefits package offered to employees?</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As part of our annual Benefit Plan Analysis, we benchmark plan design against Milliman national and regional data (100+ data points, 27,000+ employer participants). We model alternative plan designs, including HDHP migration, MERP structures, reference-based pricing, and tiered network options, with projected cost and utilization impact.</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40"/>
            </w:pPr>
            <w:r>
              <w:rPr>
                <w:rFonts w:ascii="Nunito Sans" w:cs="Nunito Sans" w:eastAsia="Nunito Sans" w:hAnsi="Nunito Sans"/>
                <w:color w:val="000000"/>
                <w:sz w:val="18"/>
                <w:szCs w:val="18"/>
              </w:rPr>
              <w:t xml:space="preserve">Ephraim McDowell Mployer Insights+ Report</w:t>
            </w:r>
          </w:p>
          <w:p>
            <w:pPr>
              <w:spacing w:after="40"/>
            </w:pPr>
            <w:r>
              <w:rPr>
                <w:rFonts w:ascii="Nunito Sans" w:cs="Nunito Sans" w:eastAsia="Nunito Sans" w:hAnsi="Nunito Sans"/>
                <w:color w:val="000000"/>
                <w:sz w:val="18"/>
                <w:szCs w:val="18"/>
              </w:rPr>
              <w:t xml:space="preserve">Ephraim McDowell Milliman Benchmark</w:t>
            </w:r>
          </w:p>
          <w:p>
            <w:pPr>
              <w:spacing w:after="40"/>
            </w:pPr>
            <w:r>
              <w:rPr>
                <w:rFonts w:ascii="Nunito Sans" w:cs="Nunito Sans" w:eastAsia="Nunito Sans" w:hAnsi="Nunito Sans"/>
                <w:color w:val="000000"/>
                <w:sz w:val="18"/>
                <w:szCs w:val="18"/>
              </w:rPr>
              <w:t xml:space="preserve">Medical/Rx Plan Design</w:t>
            </w:r>
          </w:p>
          <w:p>
            <w:pPr>
              <w:spacing w:after="40"/>
            </w:pPr>
            <w:r>
              <w:rPr>
                <w:rFonts w:ascii="Nunito Sans" w:cs="Nunito Sans" w:eastAsia="Nunito Sans" w:hAnsi="Nunito Sans"/>
                <w:color w:val="000000"/>
                <w:sz w:val="18"/>
                <w:szCs w:val="18"/>
              </w:rPr>
              <w:t xml:space="preserve">Local Healthcare Benchmark</w:t>
            </w:r>
          </w:p>
          <w:p>
            <w:pPr>
              <w:spacing w:after="0"/>
            </w:pPr>
            <w:r>
              <w:rPr>
                <w:rFonts w:ascii="Nunito Sans" w:cs="Nunito Sans" w:eastAsia="Nunito Sans" w:hAnsi="Nunito Sans"/>
                <w:color w:val="000000"/>
                <w:sz w:val="18"/>
                <w:szCs w:val="18"/>
              </w:rPr>
              <w:t xml:space="preserve">Plan Savings Options</w:t>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4. Assess and advise on Wellness programs, including ROI experience?</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We evaluate wellness and whole health programming through a clinical and financial lens, spanning physical, emotional, and financial well-being. Using our Cedar Gate utilization and population health platform, we identify intervention opportunities by cohort, enabling targeted programs with measurable ROI. We also validate vendor-provided ROI using actual claim metrics rather than benchmarks or assumptions.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40"/>
            </w:pPr>
            <w:r>
              <w:rPr>
                <w:rFonts w:ascii="Nunito Sans" w:cs="Nunito Sans" w:eastAsia="Nunito Sans" w:hAnsi="Nunito Sans"/>
                <w:color w:val="000000"/>
                <w:sz w:val="18"/>
                <w:szCs w:val="18"/>
              </w:rPr>
              <w:t xml:space="preserve">Clinic vs. Non-Clinic Utilizers</w:t>
            </w:r>
          </w:p>
          <w:p>
            <w:pPr>
              <w:spacing w:after="0"/>
            </w:pPr>
            <w:r>
              <w:rPr>
                <w:rFonts w:ascii="Nunito Sans" w:cs="Nunito Sans" w:eastAsia="Nunito Sans" w:hAnsi="Nunito Sans"/>
                <w:color w:val="000000"/>
                <w:sz w:val="18"/>
                <w:szCs w:val="18"/>
              </w:rPr>
              <w:t xml:space="preserve">Wellness Platform Comparison</w:t>
            </w:r>
          </w:p>
        </w:tc>
      </w:tr>
      <w:tr>
        <w:tc>
          <w:tcPr>
            <w:tcW w:type="dxa" w:w="9360"/>
            <w:gridSpan w:val="5"/>
            <w:tcBorders>
              <w:top w:val="single" w:color="D6D8D8" w:sz="1"/>
              <w:left w:val="single" w:color="D6D8D8" w:sz="1"/>
              <w:bottom w:val="single" w:color="D6D8D8" w:sz="1"/>
              <w:right w:val="single" w:color="D6D8D8" w:sz="1"/>
            </w:tcBorders>
            <w:shd w:fill="D6D8D8" w:val="clear"/>
            <w:tcMar>
              <w:top w:type="dxa" w:w="120"/>
              <w:left w:type="dxa" w:w="160"/>
              <w:bottom w:type="dxa" w:w="120"/>
              <w:right w:type="dxa" w:w="160"/>
            </w:tcMar>
          </w:tcPr>
          <w:p>
            <w:r>
              <w:rPr>
                <w:rFonts w:ascii="Nunito Sans" w:cs="Nunito Sans" w:eastAsia="Nunito Sans" w:hAnsi="Nunito Sans"/>
                <w:b/>
                <w:bCs/>
                <w:color w:val="004990"/>
                <w:sz w:val="22"/>
                <w:szCs w:val="22"/>
              </w:rPr>
              <w:t xml:space="preserve">C.  Vendor Management/ Marketing of Products</w:t>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1. Evaluate current vendor partnerships and make recommendations on an ongoing basis?</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Bim Group maintains a structured vendor scorecard process. We evaluate carriers, TPAs, PBMs, and ancillary vendors against performance guarantees, market benchmarks, and contractual standards. We present recommendations annually and on an ad hoc basis as warranted.</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18"/>
                <w:szCs w:val="18"/>
              </w:rPr>
              <w:t xml:space="preserve">PBM RFP Summary</w:t>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2. PBM. Please describe your suggested performance metrics, analytics, timing and marketing strategy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Our dedicated pharmacy practice handles PBM RFPs (typically on three-year cycles), contract negotiation, ongoing audits, and quarterly reporting on formulary, rebates, and specialty spend. We measure PBM performance by per member per month (PMPM) total cost rather than discounts and rebates alone. Rebates and discounts matter to plan performance, but clinical trend management and lowest net cost programs are what truly drive pharmacy costs down. We rely on access to data to track PBM performance and evaluate new opportunities to manage spend and utilization. Not every group is at a point in its contract cycle to replace its current PBM, so we also offer specialty PBM and other third-party solutions to control costs and capture clinical opportunities with the current PBM in place.</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40"/>
            </w:pPr>
            <w:r>
              <w:rPr>
                <w:rFonts w:ascii="Nunito Sans" w:cs="Nunito Sans" w:eastAsia="Nunito Sans" w:hAnsi="Nunito Sans"/>
                <w:color w:val="000000"/>
                <w:sz w:val="18"/>
                <w:szCs w:val="18"/>
              </w:rPr>
              <w:t xml:space="preserve">PBM Analysis</w:t>
            </w:r>
          </w:p>
          <w:p>
            <w:pPr>
              <w:spacing w:after="40"/>
            </w:pPr>
            <w:r>
              <w:rPr>
                <w:rFonts w:ascii="Nunito Sans" w:cs="Nunito Sans" w:eastAsia="Nunito Sans" w:hAnsi="Nunito Sans"/>
                <w:color w:val="000000"/>
                <w:sz w:val="18"/>
                <w:szCs w:val="18"/>
              </w:rPr>
              <w:t xml:space="preserve">Foundational Pharmacy Strategies Claim Review</w:t>
            </w:r>
          </w:p>
          <w:p>
            <w:pPr>
              <w:spacing w:after="0"/>
            </w:pPr>
            <w:r>
              <w:rPr>
                <w:rFonts w:ascii="Nunito Sans" w:cs="Nunito Sans" w:eastAsia="Nunito Sans" w:hAnsi="Nunito Sans"/>
                <w:color w:val="000000"/>
                <w:sz w:val="18"/>
                <w:szCs w:val="18"/>
              </w:rPr>
              <w:t xml:space="preserve">Specialty PBM: Specialty Rx Transition &amp; Cost Analysis</w:t>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 Recommend and help facilitate the management of specialty pharmacy expense?</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Our specialty drug strategy includes specialty drug PBM carveouts, alternative funding programs, copay maximizer and accumulator review, site-of-care optimization, and biosimilar conversion. We explore a range of solutions to manage specialty pharmacy costs. Specialty PBM solutions (working with the current PBM to handle traditional medications) and lowest net cost programs (copay assistance, biosimilar adoption) are a few examples of how we target specialty spend. Deconflicting the PBM relationship across PA/UM, specialty pharmacy vertical integration, and GPO ownership also brings additional transparency into specialty pharmacy costs. Our pharmacy team reviews high-cost claimants monthly to address concerns with the TPA/PBM. Specialty pharmacy spend management is the largest opportunity for savings and intervention we see across clients.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 Describe pharmcy team and resources</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Bim Group's analytics team is supported by our back office specialists, Foundational Pharmacy Strategies. Their team includes five clinical pharmacists, three strategic, experienced account managers, and two pharmacy analysts, with a deep background working with and for PBMs and evaluating other pharmacy and medication management partners. Together, our teams review pharmacy and medical data monthly to stay ahead of management issues and concerns.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 Quarterly reporting? Please describe data tracked and what analytics (e.g. trends, benchmarks) included</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Quarterly reporting includes total spend, PEPM trend, top therapeutic classes, specialty mix, generic dispensing rate, rebate yield, formulary adherence, and high-cost member review. We also track per member per month spend, lowest net cost program savings, PBM performance against the RFP bid (if conducted), high-cost claimant tracking on both the pharmacy and medical benefit, specialty/brand/generic trends and spend, comparisons against the prior quarter and prior period, open projects and accomplishments, and recommended mitigation strategies for the coming quarter.</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 Worked with "lowest net cost" PBMs? Please describe your experience and insights</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60"/>
            </w:pPr>
            <w:r>
              <w:rPr>
                <w:rFonts w:ascii="Nunito Sans" w:cs="Nunito Sans" w:eastAsia="Nunito Sans" w:hAnsi="Nunito Sans"/>
                <w:color w:val="000000"/>
                <w:sz w:val="22"/>
                <w:szCs w:val="22"/>
              </w:rPr>
              <w:t xml:space="preserve">Our teams have worked on multiple lowest-net-cost PBM engagements. We benchmark contractual rebate guarantees against net-cost outcomes to validate true savings across both traditional and lowest net cost PBMs. We find that interventions from lowest net cost PBMs drive real savings and help deconflict the PBM marketplace. These PBMs also charge flat, transparent admin fees that are far easier to account for than spread pricing and rebate retention.</w:t>
            </w:r>
          </w:p>
          <w:p>
            <w:pPr>
              <w:spacing w:after="0"/>
            </w:pPr>
            <w:r>
              <w:rPr>
                <w:rFonts w:ascii="Nunito Sans" w:cs="Nunito Sans" w:eastAsia="Nunito Sans" w:hAnsi="Nunito Sans"/>
                <w:color w:val="000000"/>
                <w:sz w:val="22"/>
                <w:szCs w:val="22"/>
              </w:rPr>
              <w:t xml:space="preserve">Beyond Bim Group's direct work, Foundational Pharmacy Strategies serves numerous clients across a range of lowest net cost PBMs. That experience has allowed them to interview and score every one of these PBMs and develop a robust understanding of each PBM's value proposition for individual groups. No single solution or PBM fits every group, so we customize our recommendations based on each group's strategy and drug mix.</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 Worked with PBMs with guaranteed savings or fixed PMPMs? Please describe your experience and insights</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We prefer PBMs that guarantee a fixed PMPM or PMPM trend. These guarantees create the right fiduciary-aligned incentive for the PBM to source medications at the lowest net cost and deliver savings to plans. Our RFP process is built to evaluate these lowest net cost programs, determine the actual savings a group will achieve, and then push PBMs for a contract and guarantee structure that meets the offer.</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 Captives and other value added services offered</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Lowest net cost evaluation works well for captives, and our value-added vendor partnerships help groups explore greater savings and clinical management opportunities where they need them. Our in-depth clinical management ensures we uncover every opportunity for savings.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 Tracked savings, average savings, savings range?</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We track savings client-by-client; the typical range observed is 12-25% net pharmacy savings post-transition. Our groups save 20-50% depending on the prior PBM relationship and the group's drug mix. We also stay flexible for groups concerned about large changes to their benefit, meeting each group at its desired strategy.</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3. Supplementary**. Please describe your suggested performance metrics, analytics, timing and marketing strategy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We market dental, vision, life, disability, and voluntary lines on an aligned renewal cycle with annual market analysis and rate negotiation. For a group of this size, we begin marketing in the first quarter for a January 1 renewal. We start with a thorough review of plan data, including an audit of enrollment census information against carrier invoices to identify and resolve discrepancies. We then conduct a comprehensive market evaluation through our RFP platform, distributing the opportunity broadly so the client receives competitive pricing and plan options. Our goal is to validate market competitiveness and deliver the best overall value, whether that means savings or confirmation that the current arrangement remains the strongest option. From data collection through results delivery, the process typically takes about 30 days and follows a disciplined, repeatable approach that consistently delivers informed recommendations and strong outcomes.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 Tracked savings, average savings, savings range?</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We track plan savings per renewal; typical multi-line marketing yields a 5-15% reduction or favorable rate-cap extensions. We track marketing results across all client groups and can benchmark performance by SIC code. For Health Services organizations (SIC 8000-8099), we achieved average savings of 14% between 2012 and 2026. Within SIC 8062 (General Medical and Surgical Hospitals), average savings were 19%. Results vary with market conditions and plan design, but savings typically range from 5% to 23%, demonstrating our ability to consistently deliver competitive market outcomes.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18"/>
                <w:szCs w:val="18"/>
              </w:rPr>
              <w:t xml:space="preserve">Ancillary Analysis</w:t>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 Quarterly reporting? Please describe data tracked and what analytics (e.g. trends, benchmarks) included</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60"/>
            </w:pPr>
            <w:r>
              <w:rPr>
                <w:rFonts w:ascii="Nunito Sans" w:cs="Nunito Sans" w:eastAsia="Nunito Sans" w:hAnsi="Nunito Sans"/>
                <w:color w:val="000000"/>
                <w:sz w:val="22"/>
                <w:szCs w:val="22"/>
              </w:rPr>
              <w:t xml:space="preserve">Quarterly reporting covers enrollment trends, claims experience, rate history, participation rates, and carrier performance against guarantees. Utilization reporting includes a comprehensive review of enrollment, utilization trends, high-cost claim activity, and key plan performance metrics. We analyze emerging trends and provide actionable recommendations to support strategic decisions throughout the plan year.</w:t>
            </w:r>
          </w:p>
          <w:p>
            <w:pPr>
              <w:spacing w:after="0"/>
            </w:pPr>
            <w:r>
              <w:rPr>
                <w:rFonts w:ascii="Nunito Sans" w:cs="Nunito Sans" w:eastAsia="Nunito Sans" w:hAnsi="Nunito Sans"/>
                <w:color w:val="000000"/>
                <w:sz w:val="22"/>
                <w:szCs w:val="22"/>
              </w:rPr>
              <w:t xml:space="preserve">We also offer robust benchmarking through a database that aggregates and evaluates benefit plan data from more than 75,000 employers. Data sources include direct employer surveys, plans shared by broker and consultant partners, public filings, foundation and association plans, and claims data processors. We compare each plan component against a customized peer cohort to assess competitiveness at both the component and segment level. These results roll into an overall plan rating, giving a clear view of how the plan compares to the broader market and where opportunities for improvement exist.</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18"/>
                <w:szCs w:val="18"/>
              </w:rPr>
              <w:t xml:space="preserve">Ephraim McDowell Mployer Insights+ Report</w:t>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4. Stop Loss/ Medical. Please describe your suggested performance metrics, analytics, timing and marketing strategy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Stop-loss program management centers on a few core performance metrics: renewal rate versus market, claims trend (PEPM, large claims), cost containment ROI, and carrier performance. We pair these metrics with predictive risk scoring, cost driver analysis, benchmarking, and scenario testing to stress-test attachment points and stop-loss deductibles and inform renewal decisions. Marketing begins annually, 6 to 8 months before renewal, with a broad RFP across A-rated carrier partners, narrowing to top performers based on pricing, terms, and fit. The process includes a structured incumbent last look, with re-marketing conducted annually or as performance dictates.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40"/>
            </w:pPr>
            <w:r>
              <w:rPr>
                <w:rFonts w:ascii="Nunito Sans" w:cs="Nunito Sans" w:eastAsia="Nunito Sans" w:hAnsi="Nunito Sans"/>
                <w:color w:val="000000"/>
                <w:sz w:val="18"/>
                <w:szCs w:val="18"/>
              </w:rPr>
              <w:t xml:space="preserve">Self-Funded Probability Outputs</w:t>
            </w:r>
          </w:p>
          <w:p>
            <w:pPr>
              <w:spacing w:after="40"/>
            </w:pPr>
            <w:r>
              <w:rPr>
                <w:rFonts w:ascii="Nunito Sans" w:cs="Nunito Sans" w:eastAsia="Nunito Sans" w:hAnsi="Nunito Sans"/>
                <w:color w:val="000000"/>
                <w:sz w:val="18"/>
                <w:szCs w:val="18"/>
              </w:rPr>
              <w:t xml:space="preserve">SL Advisor</w:t>
            </w:r>
          </w:p>
          <w:p>
            <w:pPr>
              <w:spacing w:after="0"/>
            </w:pPr>
            <w:r>
              <w:rPr>
                <w:rFonts w:ascii="Nunito Sans" w:cs="Nunito Sans" w:eastAsia="Nunito Sans" w:hAnsi="Nunito Sans"/>
                <w:color w:val="000000"/>
                <w:sz w:val="18"/>
                <w:szCs w:val="18"/>
              </w:rPr>
              <w:t xml:space="preserve">Optimal Deductible Analysis</w:t>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 Recommend and help facilitate the management of medical claims?</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We provide active large claim tracking, lasering recommendations, and case management coordination with the carrier and TPA. Our team often serves as a central coordination layer across TPAs, carriers, and vendors, giving clients a single point of accountability throughout the claims lifecycle. Using advanced analytics, we identify high-risk claimants early, enabling proactive intervention before costs escalate. We provide end-to-end claims advocacy from initial notification through carrier reimbursement, and we can submit claims directly on behalf of our broker clients as an additional service. We maintain ongoing oversight of cost containment strategies, with close attention to high-cost claimants, to ensure timely and accurate claims resolution.</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 Quarterly reporting? Please describe data tracked and what analytics (e.g. trends, benchmarks) included</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Our team conducts formal Quarterly Business Reviews, with monthly reporting available based on client preference. These reviews track paid versus expected claims, large claimant activity, Rx spend, enrollment changes, carrier reimbursements, and overall program utilization. Analytics include trend analysis, industry benchmarking, variance to expected, emerging risk identification, savings attribution, and performance scorecards, together delivering a comprehensive view of program health and actionable insights heading into each renewal cycle.</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 Provide actuarial analysis on claims to inform credibility and attachment points?</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Our Claros Analytics actuarial platform models expected versus maximum claims, reinsurance pricing credibility, expected plan outcomes, and the probability of outperforming fully insured. It provides full actuarial support, including credibility analysis, claims normalization, trend projections, and risk modeling, to build an accurate picture of the group's true risk profile. Analyses include recommended attachment points, funding comparisons, scenario modeling, and stop-loss optimization, ensuring our market strategy and carrier negotiations are actuarially grounded before going to underwriting. Our stop-loss partner's comprehensive tool set also includes access to their SL Advisor platform, which supports carrier evaluation and risk selection.</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40"/>
            </w:pPr>
            <w:r>
              <w:rPr>
                <w:rFonts w:ascii="Nunito Sans" w:cs="Nunito Sans" w:eastAsia="Nunito Sans" w:hAnsi="Nunito Sans"/>
                <w:color w:val="000000"/>
                <w:sz w:val="18"/>
                <w:szCs w:val="18"/>
              </w:rPr>
              <w:t xml:space="preserve">Claros Claim Cost Summary</w:t>
            </w:r>
          </w:p>
          <w:p>
            <w:pPr>
              <w:spacing w:after="0"/>
            </w:pPr>
            <w:r>
              <w:rPr>
                <w:rFonts w:ascii="Nunito Sans" w:cs="Nunito Sans" w:eastAsia="Nunito Sans" w:hAnsi="Nunito Sans"/>
                <w:color w:val="000000"/>
                <w:sz w:val="18"/>
                <w:szCs w:val="18"/>
              </w:rPr>
              <w:t xml:space="preserve">Fully Insured vs. Self-Funded</w:t>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 Tracked savings, average savings, savings range?</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We track stop-loss savings annually; typical marketing produces 5-15% savings, more favorable lasering outcomes, and contractual guarantees (e.g., rate caps, return of premium features, and no new lasers).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5. Third Party Administrator. Please describe your suggested performance metrics, analytics, timing and marketing strategy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We establish TPA performance standards at contract execution and track compliance through quarterly reporting and annual performance reviews. Our team audits TPA reports, coordinates with EMH HR on claims and eligibility issues, and manages escalated member advocacy cases to resolution.</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18"/>
                <w:szCs w:val="18"/>
              </w:rPr>
              <w:t xml:space="preserve">TPA RFP Results</w:t>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 Tracked savings, average savings, savings range?</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We track savings at marketing as the net impact of admin fees plus network discount impact on claims. The typical range is up to 10% overall reduction.</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 Quarterly reporting? Please describe how you work with the TPA and complement their reporting</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Bim Group consolidates TPA reporting with carrier and PBM data into unified client dashboards reviewed quarterly.</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6. Advocate for members in resolving ongoing claims issues?</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Each client is supported by a dedicated full-time Client Service Concierge who serves as a central point of contact and advocate for both the employer and covered members. The role provides a highly personalized service experience, helping employees and HR teams navigate the often-complex healthcare and benefits environment with responsive, hands-on support. The Client Service Concierge works closely with employees, dependents, providers, carriers, and internal account management teams to assist with a wide range of benefit-related concerns, including claims issues, billing discrepancies, eligibility concerns, ID card requests, provider access challenges, prior authorization coordination, and plan navigation and utilization questions.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18"/>
                <w:szCs w:val="18"/>
              </w:rPr>
              <w:t xml:space="preserve">Meet our Client Service Concierge - April Satterly</w:t>
            </w:r>
          </w:p>
        </w:tc>
      </w:tr>
      <w:tr>
        <w:tc>
          <w:tcPr>
            <w:tcW w:type="dxa" w:w="19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7. Tracking, auditing and reporting contract compliance, performance standards ?</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jc w:val="center"/>
            </w:pPr>
            <w:r>
              <w:rPr>
                <w:rFonts w:ascii="Nunito Sans" w:cs="Nunito Sans" w:eastAsia="Nunito Sans" w:hAnsi="Nunito Sans"/>
                <w:b/>
                <w:bCs/>
                <w:color w:val="004990"/>
                <w:sz w:val="22"/>
                <w:szCs w:val="22"/>
              </w:rPr>
              <w:t xml:space="preserve">Y</w:t>
            </w:r>
          </w:p>
        </w:tc>
        <w:tc>
          <w:tcPr>
            <w:tcW w:type="dxa" w:w="43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c>
          <w:tcPr>
            <w:tcW w:type="dxa" w:w="494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Our account service and analytics teams develop vendor scorecards to monitor performance against contracted standards and measure performance guarantees. Beyond TPA performance, our analytics team reviews PBM discount and rebate performance quarterly. When a guarantee is not met, our team leads the effort to pursue applicable penalties or a larger remedy.</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bl>
    <w:p>
      <w:pPr>
        <w:spacing w:before="80"/>
      </w:pPr>
      <w:r>
        <w:rPr>
          <w:rFonts w:ascii="Nunito Sans" w:cs="Nunito Sans" w:eastAsia="Nunito Sans" w:hAnsi="Nunito Sans"/>
          <w:color w:val="000000"/>
          <w:sz w:val="18"/>
          <w:szCs w:val="18"/>
        </w:rPr>
        <w:t xml:space="preserve">* FOR SERVICES INCLUDED IN THE FEES OFFERED</w:t>
      </w:r>
    </w:p>
    <w:p>
      <w:pPr>
        <w:spacing w:before="80"/>
      </w:pPr>
      <w:r>
        <w:rPr>
          <w:rFonts w:ascii="Nunito Sans" w:cs="Nunito Sans" w:eastAsia="Nunito Sans" w:hAnsi="Nunito Sans"/>
          <w:color w:val="000000"/>
          <w:sz w:val="18"/>
          <w:szCs w:val="18"/>
        </w:rPr>
        <w:t xml:space="preserve">** Disability, Dental, Vision, both paid and voluntary)</w:t>
      </w:r>
    </w:p>
    <w:p>
      <w:pPr>
        <w:pBdr>
          <w:bottom w:val="single" w:color="99FAFF" w:sz="6" w:space="1"/>
        </w:pBdr>
        <w:spacing w:before="120"/>
      </w:pPr>
    </w:p>
    <w:p>
      <w:pPr>
        <w:pStyle w:val="Heading2"/>
      </w:pPr>
      <w:r>
        <w:rPr>
          <w:rFonts w:ascii="Nunito Sans" w:cs="Nunito Sans" w:eastAsia="Nunito Sans" w:hAnsi="Nunito Sans"/>
        </w:rPr>
        <w:t xml:space="preserve">III. FEES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500"/>
        <w:gridCol w:w="2860"/>
      </w:tblGrid>
      <w:tr>
        <w:tc>
          <w:tcPr>
            <w:tcW w:type="dxa" w:w="65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b/>
                <w:bCs/>
                <w:color w:val="004990"/>
                <w:sz w:val="22"/>
                <w:szCs w:val="22"/>
              </w:rPr>
              <w:t xml:space="preserve">Employees (est)</w:t>
            </w:r>
          </w:p>
        </w:tc>
        <w:tc>
          <w:tcPr>
            <w:tcW w:type="dxa" w:w="28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1550</w:t>
            </w:r>
          </w:p>
        </w:tc>
      </w:tr>
      <w:tr>
        <w:tc>
          <w:tcPr>
            <w:tcW w:type="dxa" w:w="6500"/>
            <w:tcBorders>
              <w:top w:val="single" w:color="D6D8D8" w:sz="1"/>
              <w:left w:val="single" w:color="D6D8D8" w:sz="1"/>
              <w:bottom w:val="single" w:color="D6D8D8" w:sz="1"/>
              <w:right w:val="single" w:color="D6D8D8" w:sz="1"/>
            </w:tcBorders>
            <w:shd w:fill="D6D8D8" w:val="clear"/>
            <w:tcMar>
              <w:top w:type="dxa" w:w="120"/>
              <w:left w:type="dxa" w:w="120"/>
              <w:bottom w:type="dxa" w:w="120"/>
              <w:right w:type="dxa" w:w="120"/>
            </w:tcMar>
          </w:tcPr>
          <w:p>
            <w:r>
              <w:rPr>
                <w:rFonts w:ascii="Nunito Sans" w:cs="Nunito Sans" w:eastAsia="Nunito Sans" w:hAnsi="Nunito Sans"/>
                <w:b/>
                <w:bCs/>
                <w:color w:val="004990"/>
                <w:sz w:val="22"/>
                <w:szCs w:val="22"/>
              </w:rPr>
              <w:t xml:space="preserve">Members</w:t>
            </w:r>
          </w:p>
        </w:tc>
        <w:tc>
          <w:tcPr>
            <w:tcW w:type="dxa" w:w="2860"/>
            <w:tcBorders>
              <w:top w:val="single" w:color="D6D8D8" w:sz="1"/>
              <w:left w:val="single" w:color="D6D8D8" w:sz="1"/>
              <w:bottom w:val="single" w:color="D6D8D8" w:sz="1"/>
              <w:right w:val="single" w:color="D6D8D8" w:sz="1"/>
            </w:tcBorders>
            <w:shd w:fill="D6D8D8" w:val="clear"/>
            <w:tcMar>
              <w:top w:type="dxa" w:w="120"/>
              <w:left w:type="dxa" w:w="120"/>
              <w:bottom w:type="dxa" w:w="120"/>
              <w:right w:type="dxa" w:w="120"/>
            </w:tcMar>
          </w:tcPr>
          <w:p>
            <w:r>
              <w:rPr>
                <w:rFonts w:ascii="Nunito Sans" w:cs="Nunito Sans" w:eastAsia="Nunito Sans" w:hAnsi="Nunito Sans"/>
                <w:color w:val="000000"/>
                <w:sz w:val="22"/>
                <w:szCs w:val="22"/>
              </w:rPr>
              <w:t xml:space="preserve">2912</w:t>
            </w:r>
          </w:p>
        </w:tc>
      </w:tr>
      <w:tr>
        <w:tc>
          <w:tcPr>
            <w:tcW w:type="dxa" w:w="65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b/>
                <w:bCs/>
                <w:color w:val="004990"/>
                <w:sz w:val="22"/>
                <w:szCs w:val="22"/>
              </w:rPr>
              <w:t xml:space="preserve">A. ALL INCLUSIVE FEES, PEPM*</w:t>
            </w:r>
          </w:p>
        </w:tc>
        <w:tc>
          <w:tcPr>
            <w:tcW w:type="dxa" w:w="28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$11 PEPM</w:t>
            </w:r>
          </w:p>
        </w:tc>
      </w:tr>
      <w:tr>
        <w:tc>
          <w:tcPr>
            <w:tcW w:type="dxa" w:w="6500"/>
            <w:tcBorders>
              <w:top w:val="single" w:color="D6D8D8" w:sz="1"/>
              <w:left w:val="single" w:color="D6D8D8" w:sz="1"/>
              <w:bottom w:val="single" w:color="D6D8D8" w:sz="1"/>
              <w:right w:val="single" w:color="D6D8D8" w:sz="1"/>
            </w:tcBorders>
            <w:shd w:fill="D6D8D8" w:val="clear"/>
            <w:tcMar>
              <w:top w:type="dxa" w:w="120"/>
              <w:left w:type="dxa" w:w="120"/>
              <w:bottom w:type="dxa" w:w="120"/>
              <w:right w:type="dxa" w:w="120"/>
            </w:tcMar>
          </w:tcPr>
          <w:p>
            <w:r>
              <w:rPr>
                <w:rFonts w:ascii="Nunito Sans" w:cs="Nunito Sans" w:eastAsia="Nunito Sans" w:hAnsi="Nunito Sans"/>
                <w:b/>
                <w:bCs/>
                <w:color w:val="004990"/>
                <w:sz w:val="22"/>
                <w:szCs w:val="22"/>
              </w:rPr>
              <w:t xml:space="preserve">B. ALL INCLUSIVE FEES, WITH EXCEPTIONS**</w:t>
            </w:r>
          </w:p>
        </w:tc>
        <w:tc>
          <w:tcPr>
            <w:tcW w:type="dxa" w:w="2860"/>
            <w:tcBorders>
              <w:top w:val="single" w:color="D6D8D8" w:sz="1"/>
              <w:left w:val="single" w:color="D6D8D8" w:sz="1"/>
              <w:bottom w:val="single" w:color="D6D8D8" w:sz="1"/>
              <w:right w:val="single" w:color="D6D8D8" w:sz="1"/>
            </w:tcBorders>
            <w:shd w:fill="D6D8D8" w:val="clear"/>
            <w:tcMar>
              <w:top w:type="dxa" w:w="120"/>
              <w:left w:type="dxa" w:w="120"/>
              <w:bottom w:type="dxa" w:w="120"/>
              <w:right w:type="dxa" w:w="120"/>
            </w:tcMar>
          </w:tcPr>
          <w:p>
            <w:r>
              <w:rPr>
                <w:rFonts w:ascii="Nunito Sans" w:cs="Nunito Sans" w:eastAsia="Nunito Sans" w:hAnsi="Nunito Sans"/>
                <w:color w:val="000000"/>
                <w:sz w:val="22"/>
                <w:szCs w:val="22"/>
              </w:rPr>
              <w:t xml:space="preserve">$7 PEPM</w:t>
            </w:r>
          </w:p>
        </w:tc>
      </w:tr>
    </w:tbl>
    <w:p>
      <w:pPr>
        <w:spacing w:before="80"/>
      </w:pPr>
      <w:r>
        <w:rPr>
          <w:rFonts w:ascii="Nunito Sans" w:cs="Nunito Sans" w:eastAsia="Nunito Sans" w:hAnsi="Nunito Sans"/>
          <w:color w:val="000000"/>
          <w:sz w:val="18"/>
          <w:szCs w:val="18"/>
        </w:rPr>
        <w:t xml:space="preserve">* ALL INCLUSIVE FEE. NO OTHER DIRECT OR CONTINGENT COMMISSIONS ALLOWED FOR THIS ACCOUNTS</w:t>
      </w:r>
    </w:p>
    <w:p>
      <w:pPr>
        <w:spacing w:before="80"/>
      </w:pPr>
      <w:r>
        <w:rPr>
          <w:rFonts w:ascii="Nunito Sans" w:cs="Nunito Sans" w:eastAsia="Nunito Sans" w:hAnsi="Nunito Sans"/>
          <w:color w:val="000000"/>
          <w:sz w:val="18"/>
          <w:szCs w:val="18"/>
        </w:rPr>
        <w:t xml:space="preserve">** ALL INCLUSIVE, EXCEPT DISABILITY PRODUCTS AND PBM.</w:t>
      </w:r>
    </w:p>
    <w:p>
      <w:pPr>
        <w:pBdr>
          <w:bottom w:val="single" w:color="99FAFF" w:sz="6" w:space="1"/>
        </w:pBdr>
        <w:spacing w:before="120"/>
      </w:pPr>
    </w:p>
    <w:p>
      <w:pPr>
        <w:pStyle w:val="Heading2"/>
      </w:pPr>
      <w:r>
        <w:rPr>
          <w:rFonts w:ascii="Nunito Sans" w:cs="Nunito Sans" w:eastAsia="Nunito Sans" w:hAnsi="Nunito Sans"/>
        </w:rPr>
        <w:t xml:space="preserve">IV. QUALIFICATIONS</w:t>
      </w:r>
    </w:p>
    <w:p>
      <w:pPr>
        <w:spacing w:after="120"/>
      </w:pPr>
      <w:r>
        <w:rPr>
          <w:rFonts w:ascii="Nunito Sans" w:cs="Nunito Sans" w:eastAsia="Nunito Sans" w:hAnsi="Nunito Sans"/>
          <w:color w:val="000000"/>
          <w:sz w:val="22"/>
          <w:szCs w:val="22"/>
        </w:rPr>
        <w:t xml:space="preserve">Provide details for all qualifications listed below . YOU MAY ADD ADDITIONAL LINES AS NEEDED. Attachments may be referenced, but not without a summary description entered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5400"/>
        <w:gridCol w:w="1660"/>
      </w:tblGrid>
      <w:tr>
        <w:trPr>
          <w:tblHeader/>
        </w:trPr>
        <w:tc>
          <w:tcPr>
            <w:tcW w:type="dxa" w:w="2300"/>
            <w:tcBorders>
              <w:top w:val="single" w:color="D6D8D8" w:sz="1"/>
              <w:left w:val="single" w:color="D6D8D8" w:sz="1"/>
              <w:bottom w:val="single" w:color="D6D8D8" w:sz="1"/>
              <w:right w:val="single" w:color="D6D8D8" w:sz="1"/>
            </w:tcBorders>
            <w:shd w:fill="004990" w:val="clear"/>
            <w:tcMar>
              <w:top w:type="dxa" w:w="120"/>
              <w:left w:type="dxa" w:w="160"/>
              <w:bottom w:type="dxa" w:w="120"/>
              <w:right w:type="dxa" w:w="160"/>
            </w:tcMar>
          </w:tcPr>
          <w:p>
            <w:r>
              <w:rPr>
                <w:rFonts w:ascii="Nunito Sans" w:cs="Nunito Sans" w:eastAsia="Nunito Sans" w:hAnsi="Nunito Sans"/>
                <w:b/>
                <w:bCs/>
                <w:color w:val="FFFFFF"/>
                <w:sz w:val="20"/>
                <w:szCs w:val="20"/>
              </w:rPr>
              <w:t xml:space="preserve">Qualification</w:t>
            </w:r>
          </w:p>
        </w:tc>
        <w:tc>
          <w:tcPr>
            <w:tcW w:type="dxa" w:w="5400"/>
            <w:tcBorders>
              <w:top w:val="single" w:color="D6D8D8" w:sz="1"/>
              <w:left w:val="single" w:color="D6D8D8" w:sz="1"/>
              <w:bottom w:val="single" w:color="D6D8D8" w:sz="1"/>
              <w:right w:val="single" w:color="D6D8D8" w:sz="1"/>
            </w:tcBorders>
            <w:shd w:fill="004990" w:val="clear"/>
            <w:tcMar>
              <w:top w:type="dxa" w:w="120"/>
              <w:left w:type="dxa" w:w="160"/>
              <w:bottom w:type="dxa" w:w="120"/>
              <w:right w:type="dxa" w:w="160"/>
            </w:tcMar>
          </w:tcPr>
          <w:p>
            <w:r>
              <w:rPr>
                <w:rFonts w:ascii="Nunito Sans" w:cs="Nunito Sans" w:eastAsia="Nunito Sans" w:hAnsi="Nunito Sans"/>
                <w:b/>
                <w:bCs/>
                <w:color w:val="FFFFFF"/>
                <w:sz w:val="20"/>
                <w:szCs w:val="20"/>
              </w:rPr>
              <w:t xml:space="preserve">Description</w:t>
            </w:r>
          </w:p>
        </w:tc>
        <w:tc>
          <w:tcPr>
            <w:tcW w:type="dxa" w:w="1660"/>
            <w:tcBorders>
              <w:top w:val="single" w:color="D6D8D8" w:sz="1"/>
              <w:left w:val="single" w:color="D6D8D8" w:sz="1"/>
              <w:bottom w:val="single" w:color="D6D8D8" w:sz="1"/>
              <w:right w:val="single" w:color="D6D8D8" w:sz="1"/>
            </w:tcBorders>
            <w:shd w:fill="004990" w:val="clear"/>
            <w:tcMar>
              <w:top w:type="dxa" w:w="120"/>
              <w:left w:type="dxa" w:w="160"/>
              <w:bottom w:type="dxa" w:w="120"/>
              <w:right w:type="dxa" w:w="160"/>
            </w:tcMar>
          </w:tcPr>
          <w:p>
            <w:r>
              <w:rPr>
                <w:rFonts w:ascii="Nunito Sans" w:cs="Nunito Sans" w:eastAsia="Nunito Sans" w:hAnsi="Nunito Sans"/>
                <w:b/>
                <w:bCs/>
                <w:color w:val="FFFFFF"/>
                <w:sz w:val="20"/>
                <w:szCs w:val="20"/>
              </w:rPr>
              <w:t xml:space="preserve">Exhibits</w:t>
            </w:r>
          </w:p>
        </w:tc>
      </w:tr>
      <w:tr>
        <w:tc>
          <w:tcPr>
            <w:tcW w:type="dxa" w:w="9360"/>
            <w:gridSpan w:val="3"/>
            <w:tcBorders>
              <w:top w:val="single" w:color="D6D8D8" w:sz="1"/>
              <w:left w:val="single" w:color="D6D8D8" w:sz="1"/>
              <w:bottom w:val="single" w:color="D6D8D8" w:sz="1"/>
              <w:right w:val="single" w:color="D6D8D8" w:sz="1"/>
            </w:tcBorders>
            <w:shd w:fill="D6D8D8" w:val="clear"/>
            <w:tcMar>
              <w:top w:type="dxa" w:w="120"/>
              <w:left w:type="dxa" w:w="160"/>
              <w:bottom w:type="dxa" w:w="120"/>
              <w:right w:type="dxa" w:w="160"/>
            </w:tcMar>
          </w:tcPr>
          <w:p>
            <w:r>
              <w:rPr>
                <w:rFonts w:ascii="Nunito Sans" w:cs="Nunito Sans" w:eastAsia="Nunito Sans" w:hAnsi="Nunito Sans"/>
                <w:b/>
                <w:bCs/>
                <w:color w:val="004990"/>
                <w:sz w:val="22"/>
                <w:szCs w:val="22"/>
              </w:rPr>
              <w:t xml:space="preserve">A.  OVERVIEW AND CAPABILITIES</w:t>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1. Company headquarters, address and brief history</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Bim Group | 1151 Red Mile Rd., Lexington, KY 40504 | Additional office: 8005 Lyndon Centre Way Ste. 102, Louisville, KY 40222. Founded 1980; independent, privately held Kentucky-based employee benefits consulting firm. 40+ years of continuous operation, 40 dedicated professionals, 635+ employer clients, 90,000+ members.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2. Licenses and disclosure of any DOI or other regulatory oversight discliplinary actions in the last five years</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Bim Group maintains a Kentucky Agency License and a Kentucky Consultant License, both in continuous good standing. We have had no DOI or other regulatory disciplinary actions in the last five years.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3. Describe you analytics capabilities and its planned benefits for EMH</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Bim Group maintains a dedicated Underwriting and Data Analytics department led by Jake Gregory. Beyond delivering financial insights, we focus on identifying gaps in care, redirection of care opportunities, and prospective risk, and on translating complex data into clear, actionable insights. Our team primarily uses three platforms: (1) Cedar Gate - utilization, population health management, risk, care gap, and redirection of care analytics; (2) Claros Analytics - actuarial modeling (plan designs, budget projections, reserves, stop loss credibility, performance probability); (3) Milliman - benchmarking against 27,000+ employers across 100+ data points. For healthcare organizations, we use these analytics to identify domestic steerage opportunities, support 340B optimization strategies, reduce care leakage, increase utilization of system-owned providers and facilities, and align population health and wellness initiatives with the organization's clinical and financial objectives.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40"/>
            </w:pPr>
            <w:r>
              <w:rPr>
                <w:rFonts w:ascii="Nunito Sans" w:cs="Nunito Sans" w:eastAsia="Nunito Sans" w:hAnsi="Nunito Sans"/>
                <w:color w:val="000000"/>
                <w:sz w:val="18"/>
                <w:szCs w:val="18"/>
              </w:rPr>
              <w:t xml:space="preserve">Ephraim McDowell Milliman Benchmark</w:t>
            </w:r>
          </w:p>
          <w:p>
            <w:pPr>
              <w:spacing w:after="40"/>
            </w:pPr>
            <w:r>
              <w:rPr>
                <w:rFonts w:ascii="Nunito Sans" w:cs="Nunito Sans" w:eastAsia="Nunito Sans" w:hAnsi="Nunito Sans"/>
                <w:color w:val="000000"/>
                <w:sz w:val="18"/>
                <w:szCs w:val="18"/>
              </w:rPr>
              <w:t xml:space="preserve">Domestic Capture Analysis by Place of Service</w:t>
            </w:r>
          </w:p>
          <w:p>
            <w:pPr>
              <w:spacing w:after="0"/>
            </w:pPr>
            <w:r>
              <w:rPr>
                <w:rFonts w:ascii="Nunito Sans" w:cs="Nunito Sans" w:eastAsia="Nunito Sans" w:hAnsi="Nunito Sans"/>
                <w:color w:val="000000"/>
                <w:sz w:val="18"/>
                <w:szCs w:val="18"/>
              </w:rPr>
              <w:t xml:space="preserve">Top 20 Domestic Rx (Redirection Analysis)</w:t>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3a. Describe how AI contributes to your analytics and client facing materials</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We use AI for predictive claims modeling, automated benchmarking comparisons, natural language summarization of complex reports, and faster communication drafting. Our professional team reviews and validates all AI outputs before delivery. We never enter protected health information or PII into public or third-party AI tools, and all AI use follows HIPAA-compliant data handling within secured, access-controlled environments.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4. Outline your firm’s main differentiators from your competitors.</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60"/>
            </w:pPr>
            <w:r>
              <w:rPr>
                <w:rFonts w:ascii="Nunito Sans" w:cs="Nunito Sans" w:eastAsia="Nunito Sans" w:hAnsi="Nunito Sans"/>
                <w:color w:val="000000"/>
                <w:sz w:val="22"/>
                <w:szCs w:val="22"/>
              </w:rPr>
              <w:t xml:space="preserve">Bim Group is the largest privately held employee benefit consulting firm in Kentucky, managing more than three times the premium volume of our nearest in-state competitor. This scale, combined with our singular focus on employee benefits, provides a level of expertise, market influence, and specialization that generalist firms simply cannot replicate.</w:t>
            </w:r>
          </w:p>
          <w:p>
            <w:pPr>
              <w:spacing w:after="60"/>
            </w:pPr>
            <w:r>
              <w:rPr>
                <w:rFonts w:ascii="Nunito Sans" w:cs="Nunito Sans" w:eastAsia="Nunito Sans" w:hAnsi="Nunito Sans"/>
                <w:color w:val="000000"/>
                <w:sz w:val="22"/>
                <w:szCs w:val="22"/>
              </w:rPr>
              <w:t xml:space="preserve">As an independent UBA Partner Firm, part of a collective of top 15 U.S. brokerage organizations, we maintain access to national resources, data, and partnerships while preserving the autonomy, responsiveness, and personalized service of a regional leader. Our clients never experience the bureaucracy or competing priorities often associated with large national firms.</w:t>
            </w:r>
          </w:p>
          <w:p>
            <w:pPr>
              <w:spacing w:after="0"/>
            </w:pPr>
            <w:r>
              <w:rPr>
                <w:rFonts w:ascii="Nunito Sans" w:cs="Nunito Sans" w:eastAsia="Nunito Sans" w:hAnsi="Nunito Sans"/>
                <w:color w:val="000000"/>
                <w:sz w:val="22"/>
                <w:szCs w:val="22"/>
              </w:rPr>
              <w:t xml:space="preserve">Bim Group is recognized as a perennial Best Places to Work in Kentucky, which allows us to attract and retain the top specialists in our industry. Our team is intentionally built around employee benefits and risk management, not generalist consulting, allowing us to provide specialized expertise and strategic guidance that drives measurable results for our clients.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5. Describe what makes your firm uniquely qualified to serve our account.</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60"/>
            </w:pPr>
            <w:r>
              <w:rPr>
                <w:rFonts w:ascii="Nunito Sans" w:cs="Nunito Sans" w:eastAsia="Nunito Sans" w:hAnsi="Nunito Sans"/>
                <w:color w:val="000000"/>
                <w:sz w:val="22"/>
                <w:szCs w:val="22"/>
              </w:rPr>
              <w:t xml:space="preserve">What separates Bim Group is not our size. It is our people, our independence, and the depth of expertise we bring specifically to healthcare organizations.</w:t>
            </w:r>
          </w:p>
          <w:p>
            <w:pPr>
              <w:spacing w:after="60"/>
            </w:pPr>
            <w:r>
              <w:rPr>
                <w:rFonts w:ascii="Nunito Sans" w:cs="Nunito Sans" w:eastAsia="Nunito Sans" w:hAnsi="Nunito Sans"/>
                <w:color w:val="000000"/>
                <w:sz w:val="22"/>
                <w:szCs w:val="22"/>
              </w:rPr>
              <w:t xml:space="preserve">Our healthcare client roster, which includes Lexington Clinic, Pikeville Medical Center, Central Kentucky Radiology, Bluegrass Community Health Center, and Primary Care Centers of Eastern Kentucky, reflects a deliberate focus, not a coincidence. We understand how healthcare organizations operate from the inside, and that understanding shapes every recommendation we make.</w:t>
            </w:r>
          </w:p>
          <w:p>
            <w:pPr>
              <w:spacing w:after="60"/>
            </w:pPr>
            <w:r>
              <w:rPr>
                <w:rFonts w:ascii="Nunito Sans" w:cs="Nunito Sans" w:eastAsia="Nunito Sans" w:hAnsi="Nunito Sans"/>
                <w:color w:val="000000"/>
                <w:sz w:val="22"/>
                <w:szCs w:val="22"/>
              </w:rPr>
              <w:t xml:space="preserve">Dustin Stacy, Bim Group's President and the primary consultant on your account, brings a background that extends well beyond traditional benefits consulting. His experience includes fee schedule analysis, reimbursement strategy, cost report preparation and filing, domestic utilization and opportunity analysis, 340B management, redirection of care and claim leakage analysis, data analytics, and direct-to-employer programming. This is not a broker's background. It is a healthcare operations perspective applied to benefits strategy, and it changes the nature of the conversation we have with clients.</w:t>
            </w:r>
          </w:p>
          <w:p>
            <w:pPr>
              <w:spacing w:after="60"/>
            </w:pPr>
            <w:r>
              <w:rPr>
                <w:rFonts w:ascii="Nunito Sans" w:cs="Nunito Sans" w:eastAsia="Nunito Sans" w:hAnsi="Nunito Sans"/>
                <w:color w:val="000000"/>
                <w:sz w:val="22"/>
                <w:szCs w:val="22"/>
              </w:rPr>
              <w:t xml:space="preserve">Our team operates under a defined set of Core Values: Accept the Challenge, Care Deeply, and Never Stop Learning. These ideals describe the staff we hire, the culture we have built, and the standard we hold ourselves to in serving every client.</w:t>
            </w:r>
          </w:p>
          <w:p>
            <w:pPr>
              <w:spacing w:after="0"/>
            </w:pPr>
            <w:r>
              <w:rPr>
                <w:rFonts w:ascii="Nunito Sans" w:cs="Nunito Sans" w:eastAsia="Nunito Sans" w:hAnsi="Nunito Sans"/>
                <w:color w:val="000000"/>
                <w:sz w:val="22"/>
                <w:szCs w:val="22"/>
              </w:rPr>
              <w:t xml:space="preserve">Finally, as an independent firm, we answer only to our clients. There are no production quotas, no preferred carrier relationships, and no national hierarchy to navigate. When we make a recommendation, it is because it is right for you.</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6. Describe how your firm’s expertise in modern benefit plan design in health plan and ancillary benefit offerings will attract and retain high-quality employees for EMH. Note that this RFP does not include retirement plan consulting.</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60"/>
            </w:pPr>
            <w:r>
              <w:rPr>
                <w:rFonts w:ascii="Nunito Sans" w:cs="Nunito Sans" w:eastAsia="Nunito Sans" w:hAnsi="Nunito Sans"/>
                <w:color w:val="000000"/>
                <w:sz w:val="22"/>
                <w:szCs w:val="22"/>
              </w:rPr>
              <w:t xml:space="preserve">Bim Group brings an innovative, consultative approach to employee benefits, grounded in a commitment to understanding each employer's unique workforce challenges. We do not apply a one-size-fits-all framework. Instead, we invest time at the outset, and throughout the year, to understand each client's pain points, recruitment and retention goals, budget constraints, and workforce demographics. That foundation shapes every recommendation we make.</w:t>
            </w:r>
          </w:p>
          <w:p>
            <w:pPr>
              <w:spacing w:after="60"/>
            </w:pPr>
            <w:r>
              <w:rPr>
                <w:rFonts w:ascii="Nunito Sans" w:cs="Nunito Sans" w:eastAsia="Nunito Sans" w:hAnsi="Nunito Sans"/>
                <w:color w:val="000000"/>
                <w:sz w:val="22"/>
                <w:szCs w:val="22"/>
              </w:rPr>
              <w:t xml:space="preserve">Benchmarking and Plan Design</w:t>
            </w:r>
          </w:p>
          <w:p>
            <w:pPr>
              <w:spacing w:after="60"/>
            </w:pPr>
            <w:r>
              <w:rPr>
                <w:rFonts w:ascii="Nunito Sans" w:cs="Nunito Sans" w:eastAsia="Nunito Sans" w:hAnsi="Nunito Sans"/>
                <w:color w:val="000000"/>
                <w:sz w:val="22"/>
                <w:szCs w:val="22"/>
              </w:rPr>
              <w:t xml:space="preserve">Our strategy combines annual benchmarking against regional healthcare employers and Milliman national data with financial modeling of various funding and plan design mechanisms. We evaluate the full benefits landscape, including ancillary and voluntary offerings, to ensure each client's program is competitive, cost-effective, and aligned with the needs of their workforce.</w:t>
            </w:r>
          </w:p>
          <w:p>
            <w:pPr>
              <w:spacing w:after="60"/>
            </w:pPr>
            <w:r>
              <w:rPr>
                <w:rFonts w:ascii="Nunito Sans" w:cs="Nunito Sans" w:eastAsia="Nunito Sans" w:hAnsi="Nunito Sans"/>
                <w:color w:val="000000"/>
                <w:sz w:val="22"/>
                <w:szCs w:val="22"/>
              </w:rPr>
              <w:t xml:space="preserve">Whole Employee Focus and Creative Benefits Planning</w:t>
            </w:r>
          </w:p>
          <w:p>
            <w:pPr>
              <w:spacing w:after="60"/>
            </w:pPr>
            <w:r>
              <w:rPr>
                <w:rFonts w:ascii="Nunito Sans" w:cs="Nunito Sans" w:eastAsia="Nunito Sans" w:hAnsi="Nunito Sans"/>
                <w:color w:val="000000"/>
                <w:sz w:val="22"/>
                <w:szCs w:val="22"/>
              </w:rPr>
              <w:t xml:space="preserve">We evaluate benefits programs through the lens of physical, emotional, and financial well-being. This whole-person philosophy means we look beyond medical and dental to consider how a comprehensive benefits strategy supports employees at every stage of life. We actively identify and vet point solutions across the marketplace, including mental health resources, financial wellness tools, and chronic condition management programs, to build a benefits ecosystem that reflects the full range of employee needs. A broad exhibit of the point solutions we bring to clients is included, illustrating the depth and range of our advisory work. As part of our commitment to innovative thinking, we have developed a decision-support tool for select clients that shows how a total compensation and benefits package compares in the marketplace. This resource serves current employees evaluating their options during open enrollment, as well as prospects weighing a job offer, helping both see the full value of what is offered beyond base salary. A sample exhibit is included with this response.</w:t>
            </w:r>
          </w:p>
          <w:p>
            <w:pPr>
              <w:spacing w:after="60"/>
            </w:pPr>
            <w:r>
              <w:rPr>
                <w:rFonts w:ascii="Nunito Sans" w:cs="Nunito Sans" w:eastAsia="Nunito Sans" w:hAnsi="Nunito Sans"/>
                <w:color w:val="000000"/>
                <w:sz w:val="22"/>
                <w:szCs w:val="22"/>
              </w:rPr>
              <w:t xml:space="preserve">Dedicated Human Capital</w:t>
            </w:r>
          </w:p>
          <w:p>
            <w:pPr>
              <w:spacing w:after="0"/>
            </w:pPr>
            <w:r>
              <w:rPr>
                <w:rFonts w:ascii="Nunito Sans" w:cs="Nunito Sans" w:eastAsia="Nunito Sans" w:hAnsi="Nunito Sans"/>
                <w:color w:val="000000"/>
                <w:sz w:val="22"/>
                <w:szCs w:val="22"/>
              </w:rPr>
              <w:t xml:space="preserve">Bim Group employs a Manager of Client Communications and Health Improvement Strategies. This role develops communication tools and resources and identifies additional vendors and point solutions in the marketplace that broaden the benefits program available to our clients' employees. The result is communication that is not only well-designed but strategically aligned to drive employee understanding, engagement, and appreciation of the total rewards package. Stronger communication supports stronger recruitment, retention, and overall workforce satisfaction.</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40"/>
            </w:pPr>
            <w:r>
              <w:rPr>
                <w:rFonts w:ascii="Nunito Sans" w:cs="Nunito Sans" w:eastAsia="Nunito Sans" w:hAnsi="Nunito Sans"/>
                <w:color w:val="000000"/>
                <w:sz w:val="18"/>
                <w:szCs w:val="18"/>
              </w:rPr>
              <w:t xml:space="preserve">Communication Strategy</w:t>
            </w:r>
          </w:p>
          <w:p>
            <w:pPr>
              <w:spacing w:after="40"/>
            </w:pPr>
            <w:r>
              <w:rPr>
                <w:rFonts w:ascii="Nunito Sans" w:cs="Nunito Sans" w:eastAsia="Nunito Sans" w:hAnsi="Nunito Sans"/>
                <w:color w:val="000000"/>
                <w:sz w:val="18"/>
                <w:szCs w:val="18"/>
              </w:rPr>
              <w:t xml:space="preserve">Point Solutions</w:t>
            </w:r>
          </w:p>
          <w:p>
            <w:pPr>
              <w:spacing w:after="0"/>
            </w:pPr>
            <w:r>
              <w:rPr>
                <w:rFonts w:ascii="Nunito Sans" w:cs="Nunito Sans" w:eastAsia="Nunito Sans" w:hAnsi="Nunito Sans"/>
                <w:color w:val="000000"/>
                <w:sz w:val="18"/>
                <w:szCs w:val="18"/>
              </w:rPr>
              <w:t xml:space="preserve">Total Compensation Calculator</w:t>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7. Confirm your compliance with the c requirements of the Consolidated Appropriatiosn Act of 2021, and also of 2026</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Confirmed. Bim Group supports compliance with all CAA 2021 provisions (gag clause attestation, No Surprises Act, mental health parity NQTL analysis, broker compensation disclosure) and CAA 2026 provisions (enhanced NQTL enforcement, expanded PBM transparency, updated gag clause attestation). We continually monitor legislative and regulatory developments on behalf of our clients and help them meet their fiduciary responsibilities.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9360"/>
            <w:gridSpan w:val="3"/>
            <w:tcBorders>
              <w:top w:val="single" w:color="D6D8D8" w:sz="1"/>
              <w:left w:val="single" w:color="D6D8D8" w:sz="1"/>
              <w:bottom w:val="single" w:color="D6D8D8" w:sz="1"/>
              <w:right w:val="single" w:color="D6D8D8" w:sz="1"/>
            </w:tcBorders>
            <w:shd w:fill="D6D8D8" w:val="clear"/>
            <w:tcMar>
              <w:top w:type="dxa" w:w="120"/>
              <w:left w:type="dxa" w:w="160"/>
              <w:bottom w:type="dxa" w:w="120"/>
              <w:right w:type="dxa" w:w="160"/>
            </w:tcMar>
          </w:tcPr>
          <w:p>
            <w:r>
              <w:rPr>
                <w:rFonts w:ascii="Nunito Sans" w:cs="Nunito Sans" w:eastAsia="Nunito Sans" w:hAnsi="Nunito Sans"/>
                <w:b/>
                <w:bCs/>
                <w:color w:val="004990"/>
                <w:sz w:val="22"/>
                <w:szCs w:val="22"/>
              </w:rPr>
              <w:t xml:space="preserve">B. SERVICE MODEL</w:t>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1. Describe your account service and customer support model.</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60"/>
            </w:pPr>
            <w:r>
              <w:rPr>
                <w:rFonts w:ascii="Nunito Sans" w:cs="Nunito Sans" w:eastAsia="Nunito Sans" w:hAnsi="Nunito Sans"/>
                <w:color w:val="000000"/>
                <w:sz w:val="22"/>
                <w:szCs w:val="22"/>
              </w:rPr>
              <w:t xml:space="preserve">Dedicated Account Team</w:t>
            </w:r>
          </w:p>
          <w:p>
            <w:pPr>
              <w:spacing w:after="60"/>
            </w:pPr>
            <w:r>
              <w:rPr>
                <w:rFonts w:ascii="Nunito Sans" w:cs="Nunito Sans" w:eastAsia="Nunito Sans" w:hAnsi="Nunito Sans"/>
                <w:color w:val="000000"/>
                <w:sz w:val="22"/>
                <w:szCs w:val="22"/>
              </w:rPr>
              <w:t xml:space="preserve">Each client is served by a dedicated team of specialists led by benefit advisors who hold overall strategic responsibility for the relationship and an Account Executive who serves as the day-to-day liaison with your HR team and acts as lead facilitator and project manager. We deliberately limit Account Executive caseloads to ensure responsiveness and depth of attention. Supporting this team are a dedicated Account Manager and specialists in underwriting and data analytics, compliance, and employee advocacy, each contributing defined expertise rather than a generalist approach. Our Compliance Consultant provides compliance support, backed by outside ERISA counsel.</w:t>
            </w:r>
          </w:p>
          <w:p>
            <w:pPr>
              <w:spacing w:after="60"/>
            </w:pPr>
            <w:r>
              <w:rPr>
                <w:rFonts w:ascii="Nunito Sans" w:cs="Nunito Sans" w:eastAsia="Nunito Sans" w:hAnsi="Nunito Sans"/>
                <w:color w:val="000000"/>
                <w:sz w:val="22"/>
                <w:szCs w:val="22"/>
              </w:rPr>
              <w:t xml:space="preserve">A Proven Five-Stage Annual Management Process</w:t>
            </w:r>
          </w:p>
          <w:p>
            <w:pPr>
              <w:spacing w:after="60"/>
            </w:pPr>
            <w:r>
              <w:rPr>
                <w:rFonts w:ascii="Nunito Sans" w:cs="Nunito Sans" w:eastAsia="Nunito Sans" w:hAnsi="Nunito Sans"/>
                <w:color w:val="000000"/>
                <w:sz w:val="22"/>
                <w:szCs w:val="22"/>
              </w:rPr>
              <w:t xml:space="preserve">Our engagement with every client follows a structured, five-stage year-round management cycle with no gaps and no surprises (see Exhibit). A client-specific project management timeline, agreed upon by all parties including carriers well in advance of each renewal, governs this cycle. Clients can be confident that decisions integrate cleanly with payroll, HRIS, benefits committees, and other internal HR processes.</w:t>
            </w:r>
          </w:p>
          <w:p>
            <w:pPr>
              <w:spacing w:after="60"/>
            </w:pPr>
            <w:r>
              <w:rPr>
                <w:rFonts w:ascii="Nunito Sans" w:cs="Nunito Sans" w:eastAsia="Nunito Sans" w:hAnsi="Nunito Sans"/>
                <w:color w:val="000000"/>
                <w:sz w:val="22"/>
                <w:szCs w:val="22"/>
              </w:rPr>
              <w:t xml:space="preserve">Employee Advocacy and Day-to-Day Support</w:t>
            </w:r>
          </w:p>
          <w:p>
            <w:pPr>
              <w:spacing w:after="60"/>
            </w:pPr>
            <w:r>
              <w:rPr>
                <w:rFonts w:ascii="Nunito Sans" w:cs="Nunito Sans" w:eastAsia="Nunito Sans" w:hAnsi="Nunito Sans"/>
                <w:color w:val="000000"/>
                <w:sz w:val="22"/>
                <w:szCs w:val="22"/>
              </w:rPr>
              <w:t xml:space="preserve">We provide clients with a dedicated Customer Service Concierge who assists employees with claims and billing resolution, coverage questions, and advocacy with carriers on member-specific issues. We document all employee inquiries in our client management system, giving every team member visibility into open issues and resolution status. The Account Executive and Account Manager provide a second layer of oversight, monitoring claim concerns for systemic patterns and escalating to senior leadership and carriers when circumstances require it. We have included an exhibit on the additional HR advocacy resources we provide, recognizing that HR professionals' roles go beyond health and welfare compliance and management.</w:t>
            </w:r>
          </w:p>
          <w:p>
            <w:pPr>
              <w:spacing w:after="60"/>
            </w:pPr>
            <w:r>
              <w:rPr>
                <w:rFonts w:ascii="Nunito Sans" w:cs="Nunito Sans" w:eastAsia="Nunito Sans" w:hAnsi="Nunito Sans"/>
                <w:color w:val="000000"/>
                <w:sz w:val="22"/>
                <w:szCs w:val="22"/>
              </w:rPr>
              <w:t xml:space="preserve">Communication &amp; Engagement</w:t>
            </w:r>
          </w:p>
          <w:p>
            <w:pPr>
              <w:spacing w:after="0"/>
            </w:pPr>
            <w:r>
              <w:rPr>
                <w:rFonts w:ascii="Nunito Sans" w:cs="Nunito Sans" w:eastAsia="Nunito Sans" w:hAnsi="Nunito Sans"/>
                <w:color w:val="000000"/>
                <w:sz w:val="22"/>
                <w:szCs w:val="22"/>
              </w:rPr>
              <w:t xml:space="preserve">Effective benefits communication and employee engagement are integral to our service model. Throughout the plan year, and with particular depth during open enrollment, we partner with clients to design and deploy a customized mix of communication tools, from printed materials and email announcements to onsite meetings, web-based Q&amp;A sessions, and technology platforms and decision-support resources. Our support extends beyond open enrollment to new hire onboarding, ensuring employees understand and can access their benefits from day one. A full exhibit of available open enrollment communication tools is included with this response to illustrate the breadth of what our team brings to that effort.</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40"/>
            </w:pPr>
            <w:r>
              <w:rPr>
                <w:rFonts w:ascii="Nunito Sans" w:cs="Nunito Sans" w:eastAsia="Nunito Sans" w:hAnsi="Nunito Sans"/>
                <w:color w:val="000000"/>
                <w:sz w:val="18"/>
                <w:szCs w:val="18"/>
              </w:rPr>
              <w:t xml:space="preserve">Employee Communication Tools</w:t>
            </w:r>
          </w:p>
          <w:p>
            <w:pPr>
              <w:spacing w:after="0"/>
            </w:pPr>
            <w:r>
              <w:rPr>
                <w:rFonts w:ascii="Nunito Sans" w:cs="Nunito Sans" w:eastAsia="Nunito Sans" w:hAnsi="Nunito Sans"/>
                <w:color w:val="000000"/>
                <w:sz w:val="18"/>
                <w:szCs w:val="18"/>
              </w:rPr>
              <w:t xml:space="preserve">HR Advocacy Tools</w:t>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2. List all team member to be assigned to this account with names, tenure, titles, contact information</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60"/>
            </w:pPr>
            <w:r>
              <w:rPr>
                <w:rFonts w:ascii="Nunito Sans" w:cs="Nunito Sans" w:eastAsia="Nunito Sans" w:hAnsi="Nunito Sans"/>
                <w:color w:val="000000"/>
                <w:sz w:val="22"/>
                <w:szCs w:val="22"/>
              </w:rPr>
              <w:t xml:space="preserve">BIM GROUP EMH SERVICE TEAM:</w:t>
            </w:r>
          </w:p>
          <w:p>
            <w:pPr>
              <w:spacing w:after="60"/>
            </w:pPr>
            <w:r>
              <w:rPr>
                <w:rFonts w:ascii="Nunito Sans" w:cs="Nunito Sans" w:eastAsia="Nunito Sans" w:hAnsi="Nunito Sans"/>
                <w:color w:val="000000"/>
                <w:sz w:val="22"/>
                <w:szCs w:val="22"/>
              </w:rPr>
              <w:t xml:space="preserve">Dustin Stacy</w:t>
            </w:r>
          </w:p>
          <w:p>
            <w:pPr>
              <w:spacing w:after="60"/>
            </w:pPr>
            <w:r>
              <w:rPr>
                <w:rFonts w:ascii="Nunito Sans" w:cs="Nunito Sans" w:eastAsia="Nunito Sans" w:hAnsi="Nunito Sans"/>
                <w:color w:val="000000"/>
                <w:sz w:val="22"/>
                <w:szCs w:val="22"/>
              </w:rPr>
              <w:t xml:space="preserve">President and Sr. Benefit Advisor</w:t>
            </w:r>
          </w:p>
          <w:p>
            <w:pPr>
              <w:spacing w:after="60"/>
            </w:pPr>
            <w:r>
              <w:rPr>
                <w:rFonts w:ascii="Nunito Sans" w:cs="Nunito Sans" w:eastAsia="Nunito Sans" w:hAnsi="Nunito Sans"/>
                <w:color w:val="000000"/>
                <w:sz w:val="22"/>
                <w:szCs w:val="22"/>
              </w:rPr>
              <w:t xml:space="preserve">15+ years tenure</w:t>
            </w:r>
          </w:p>
          <w:p>
            <w:pPr>
              <w:spacing w:after="60"/>
            </w:pPr>
            <w:r>
              <w:rPr>
                <w:rFonts w:ascii="Nunito Sans" w:cs="Nunito Sans" w:eastAsia="Nunito Sans" w:hAnsi="Nunito Sans"/>
                <w:color w:val="000000"/>
                <w:sz w:val="22"/>
                <w:szCs w:val="22"/>
              </w:rPr>
              <w:t xml:space="preserve">dustin@bimgroup.us</w:t>
            </w:r>
          </w:p>
          <w:p>
            <w:pPr>
              <w:spacing w:after="60"/>
            </w:pPr>
            <w:r>
              <w:rPr>
                <w:rFonts w:ascii="Nunito Sans" w:cs="Nunito Sans" w:eastAsia="Nunito Sans" w:hAnsi="Nunito Sans"/>
                <w:color w:val="000000"/>
                <w:sz w:val="22"/>
                <w:szCs w:val="22"/>
              </w:rPr>
              <w:t xml:space="preserve">859-333-4778</w:t>
            </w:r>
          </w:p>
          <w:p>
            <w:pPr>
              <w:spacing w:after="60"/>
            </w:pPr>
            <w:r>
              <w:rPr>
                <w:rFonts w:ascii="Nunito Sans" w:cs="Nunito Sans" w:eastAsia="Nunito Sans" w:hAnsi="Nunito Sans"/>
                <w:color w:val="000000"/>
                <w:sz w:val="22"/>
                <w:szCs w:val="22"/>
              </w:rPr>
              <w:t xml:space="preserve">15 LGU (100+ enrolled) accounts managed</w:t>
            </w:r>
          </w:p>
          <w:p>
            <w:pPr>
              <w:spacing w:after="60"/>
            </w:pPr>
            <w:r>
              <w:rPr>
                <w:rFonts w:ascii="Nunito Sans" w:cs="Nunito Sans" w:eastAsia="Nunito Sans" w:hAnsi="Nunito Sans"/>
                <w:color w:val="000000"/>
                <w:sz w:val="22"/>
                <w:szCs w:val="22"/>
              </w:rPr>
              <w:t xml:space="preserve">15%</w:t>
            </w:r>
          </w:p>
          <w:p>
            <w:pPr>
              <w:spacing w:after="60"/>
            </w:pPr>
            <w:r>
              <w:rPr>
                <w:rFonts w:ascii="Nunito Sans" w:cs="Nunito Sans" w:eastAsia="Nunito Sans" w:hAnsi="Nunito Sans"/>
                <w:color w:val="000000"/>
                <w:sz w:val="22"/>
                <w:szCs w:val="22"/>
              </w:rPr>
              <w:t xml:space="preserve">Bill Barton, REBC</w:t>
            </w:r>
          </w:p>
          <w:p>
            <w:pPr>
              <w:spacing w:after="60"/>
            </w:pPr>
            <w:r>
              <w:rPr>
                <w:rFonts w:ascii="Nunito Sans" w:cs="Nunito Sans" w:eastAsia="Nunito Sans" w:hAnsi="Nunito Sans"/>
                <w:color w:val="000000"/>
                <w:sz w:val="22"/>
                <w:szCs w:val="22"/>
              </w:rPr>
              <w:t xml:space="preserve">Benefit Advisor</w:t>
            </w:r>
          </w:p>
          <w:p>
            <w:pPr>
              <w:spacing w:after="60"/>
            </w:pPr>
            <w:r>
              <w:rPr>
                <w:rFonts w:ascii="Nunito Sans" w:cs="Nunito Sans" w:eastAsia="Nunito Sans" w:hAnsi="Nunito Sans"/>
                <w:color w:val="000000"/>
                <w:sz w:val="22"/>
                <w:szCs w:val="22"/>
              </w:rPr>
              <w:t xml:space="preserve">bill@bimgroup.us</w:t>
            </w:r>
          </w:p>
          <w:p>
            <w:pPr>
              <w:spacing w:after="60"/>
            </w:pPr>
            <w:r>
              <w:rPr>
                <w:rFonts w:ascii="Nunito Sans" w:cs="Nunito Sans" w:eastAsia="Nunito Sans" w:hAnsi="Nunito Sans"/>
                <w:color w:val="000000"/>
                <w:sz w:val="22"/>
                <w:szCs w:val="22"/>
              </w:rPr>
              <w:t xml:space="preserve">859-460-6620</w:t>
            </w:r>
          </w:p>
          <w:p>
            <w:pPr>
              <w:spacing w:after="60"/>
            </w:pPr>
            <w:r>
              <w:rPr>
                <w:rFonts w:ascii="Nunito Sans" w:cs="Nunito Sans" w:eastAsia="Nunito Sans" w:hAnsi="Nunito Sans"/>
                <w:color w:val="000000"/>
                <w:sz w:val="22"/>
                <w:szCs w:val="22"/>
              </w:rPr>
              <w:t xml:space="preserve">1 LGU account managed</w:t>
            </w:r>
          </w:p>
          <w:p>
            <w:pPr>
              <w:spacing w:after="60"/>
            </w:pPr>
            <w:r>
              <w:rPr>
                <w:rFonts w:ascii="Nunito Sans" w:cs="Nunito Sans" w:eastAsia="Nunito Sans" w:hAnsi="Nunito Sans"/>
                <w:color w:val="000000"/>
                <w:sz w:val="22"/>
                <w:szCs w:val="22"/>
              </w:rPr>
              <w:t xml:space="preserve">6 years experience</w:t>
            </w:r>
          </w:p>
          <w:p>
            <w:pPr>
              <w:spacing w:after="60"/>
            </w:pPr>
            <w:r>
              <w:rPr>
                <w:rFonts w:ascii="Nunito Sans" w:cs="Nunito Sans" w:eastAsia="Nunito Sans" w:hAnsi="Nunito Sans"/>
                <w:color w:val="000000"/>
                <w:sz w:val="22"/>
                <w:szCs w:val="22"/>
              </w:rPr>
              <w:t xml:space="preserve">15%</w:t>
            </w:r>
          </w:p>
          <w:p>
            <w:pPr>
              <w:spacing w:after="60"/>
            </w:pPr>
            <w:r>
              <w:rPr>
                <w:rFonts w:ascii="Nunito Sans" w:cs="Nunito Sans" w:eastAsia="Nunito Sans" w:hAnsi="Nunito Sans"/>
                <w:color w:val="000000"/>
                <w:sz w:val="22"/>
                <w:szCs w:val="22"/>
              </w:rPr>
              <w:t xml:space="preserve">Lindsey Bohon, REBC</w:t>
            </w:r>
          </w:p>
          <w:p>
            <w:pPr>
              <w:spacing w:after="60"/>
            </w:pPr>
            <w:r>
              <w:rPr>
                <w:rFonts w:ascii="Nunito Sans" w:cs="Nunito Sans" w:eastAsia="Nunito Sans" w:hAnsi="Nunito Sans"/>
                <w:color w:val="000000"/>
                <w:sz w:val="22"/>
                <w:szCs w:val="22"/>
              </w:rPr>
              <w:t xml:space="preserve">Account Executive and Manager, Account Services</w:t>
            </w:r>
          </w:p>
          <w:p>
            <w:pPr>
              <w:spacing w:after="60"/>
            </w:pPr>
            <w:r>
              <w:rPr>
                <w:rFonts w:ascii="Nunito Sans" w:cs="Nunito Sans" w:eastAsia="Nunito Sans" w:hAnsi="Nunito Sans"/>
                <w:color w:val="000000"/>
                <w:sz w:val="22"/>
                <w:szCs w:val="22"/>
              </w:rPr>
              <w:t xml:space="preserve">lindsey@bimgroup.us</w:t>
            </w:r>
          </w:p>
          <w:p>
            <w:pPr>
              <w:spacing w:after="60"/>
            </w:pPr>
            <w:r>
              <w:rPr>
                <w:rFonts w:ascii="Nunito Sans" w:cs="Nunito Sans" w:eastAsia="Nunito Sans" w:hAnsi="Nunito Sans"/>
                <w:color w:val="000000"/>
                <w:sz w:val="22"/>
                <w:szCs w:val="22"/>
              </w:rPr>
              <w:t xml:space="preserve">859-537-3511</w:t>
            </w:r>
          </w:p>
          <w:p>
            <w:pPr>
              <w:spacing w:after="60"/>
            </w:pPr>
            <w:r>
              <w:rPr>
                <w:rFonts w:ascii="Nunito Sans" w:cs="Nunito Sans" w:eastAsia="Nunito Sans" w:hAnsi="Nunito Sans"/>
                <w:color w:val="000000"/>
                <w:sz w:val="22"/>
                <w:szCs w:val="22"/>
              </w:rPr>
              <w:t xml:space="preserve">4 LGU accounts managed</w:t>
            </w:r>
          </w:p>
          <w:p>
            <w:pPr>
              <w:spacing w:after="60"/>
            </w:pPr>
            <w:r>
              <w:rPr>
                <w:rFonts w:ascii="Nunito Sans" w:cs="Nunito Sans" w:eastAsia="Nunito Sans" w:hAnsi="Nunito Sans"/>
                <w:color w:val="000000"/>
                <w:sz w:val="22"/>
                <w:szCs w:val="22"/>
              </w:rPr>
              <w:t xml:space="preserve">10 years tenure</w:t>
            </w:r>
          </w:p>
          <w:p>
            <w:pPr>
              <w:spacing w:after="60"/>
            </w:pPr>
            <w:r>
              <w:rPr>
                <w:rFonts w:ascii="Nunito Sans" w:cs="Nunito Sans" w:eastAsia="Nunito Sans" w:hAnsi="Nunito Sans"/>
                <w:color w:val="000000"/>
                <w:sz w:val="22"/>
                <w:szCs w:val="22"/>
              </w:rPr>
              <w:t xml:space="preserve">25%</w:t>
            </w:r>
          </w:p>
          <w:p>
            <w:pPr>
              <w:spacing w:after="60"/>
            </w:pPr>
            <w:r>
              <w:rPr>
                <w:rFonts w:ascii="Nunito Sans" w:cs="Nunito Sans" w:eastAsia="Nunito Sans" w:hAnsi="Nunito Sans"/>
                <w:color w:val="000000"/>
                <w:sz w:val="22"/>
                <w:szCs w:val="22"/>
              </w:rPr>
              <w:t xml:space="preserve">Lea Harper, REBC, PHR</w:t>
            </w:r>
          </w:p>
          <w:p>
            <w:pPr>
              <w:spacing w:after="60"/>
            </w:pPr>
            <w:r>
              <w:rPr>
                <w:rFonts w:ascii="Nunito Sans" w:cs="Nunito Sans" w:eastAsia="Nunito Sans" w:hAnsi="Nunito Sans"/>
                <w:color w:val="000000"/>
                <w:sz w:val="22"/>
                <w:szCs w:val="22"/>
              </w:rPr>
              <w:t xml:space="preserve">Account Manager</w:t>
            </w:r>
          </w:p>
          <w:p>
            <w:pPr>
              <w:spacing w:after="60"/>
            </w:pPr>
            <w:r>
              <w:rPr>
                <w:rFonts w:ascii="Nunito Sans" w:cs="Nunito Sans" w:eastAsia="Nunito Sans" w:hAnsi="Nunito Sans"/>
                <w:color w:val="000000"/>
                <w:sz w:val="22"/>
                <w:szCs w:val="22"/>
              </w:rPr>
              <w:t xml:space="preserve">lea@bimgroup.us</w:t>
            </w:r>
          </w:p>
          <w:p>
            <w:pPr>
              <w:spacing w:after="60"/>
            </w:pPr>
            <w:r>
              <w:rPr>
                <w:rFonts w:ascii="Nunito Sans" w:cs="Nunito Sans" w:eastAsia="Nunito Sans" w:hAnsi="Nunito Sans"/>
                <w:color w:val="000000"/>
                <w:sz w:val="22"/>
                <w:szCs w:val="22"/>
              </w:rPr>
              <w:t xml:space="preserve">859.255.9455 x1122</w:t>
            </w:r>
          </w:p>
          <w:p>
            <w:pPr>
              <w:spacing w:after="60"/>
            </w:pPr>
            <w:r>
              <w:rPr>
                <w:rFonts w:ascii="Nunito Sans" w:cs="Nunito Sans" w:eastAsia="Nunito Sans" w:hAnsi="Nunito Sans"/>
                <w:color w:val="000000"/>
                <w:sz w:val="22"/>
                <w:szCs w:val="22"/>
              </w:rPr>
              <w:t xml:space="preserve">8 LGU accounts managed</w:t>
            </w:r>
          </w:p>
          <w:p>
            <w:pPr>
              <w:spacing w:after="60"/>
            </w:pPr>
            <w:r>
              <w:rPr>
                <w:rFonts w:ascii="Nunito Sans" w:cs="Nunito Sans" w:eastAsia="Nunito Sans" w:hAnsi="Nunito Sans"/>
                <w:color w:val="000000"/>
                <w:sz w:val="22"/>
                <w:szCs w:val="22"/>
              </w:rPr>
              <w:t xml:space="preserve">8 years experience</w:t>
            </w:r>
          </w:p>
          <w:p>
            <w:pPr>
              <w:spacing w:after="60"/>
            </w:pPr>
            <w:r>
              <w:rPr>
                <w:rFonts w:ascii="Nunito Sans" w:cs="Nunito Sans" w:eastAsia="Nunito Sans" w:hAnsi="Nunito Sans"/>
                <w:color w:val="000000"/>
                <w:sz w:val="22"/>
                <w:szCs w:val="22"/>
              </w:rPr>
              <w:t xml:space="preserve">15%</w:t>
            </w:r>
          </w:p>
          <w:p>
            <w:pPr>
              <w:spacing w:after="60"/>
            </w:pPr>
            <w:r>
              <w:rPr>
                <w:rFonts w:ascii="Nunito Sans" w:cs="Nunito Sans" w:eastAsia="Nunito Sans" w:hAnsi="Nunito Sans"/>
                <w:color w:val="000000"/>
                <w:sz w:val="22"/>
                <w:szCs w:val="22"/>
              </w:rPr>
              <w:t xml:space="preserve">Jake Gregory</w:t>
            </w:r>
          </w:p>
          <w:p>
            <w:pPr>
              <w:spacing w:after="60"/>
            </w:pPr>
            <w:r>
              <w:rPr>
                <w:rFonts w:ascii="Nunito Sans" w:cs="Nunito Sans" w:eastAsia="Nunito Sans" w:hAnsi="Nunito Sans"/>
                <w:color w:val="000000"/>
                <w:sz w:val="22"/>
                <w:szCs w:val="22"/>
              </w:rPr>
              <w:t xml:space="preserve">Manager, Underwriting and Data Analytics</w:t>
            </w:r>
          </w:p>
          <w:p>
            <w:pPr>
              <w:spacing w:after="60"/>
            </w:pPr>
            <w:r>
              <w:rPr>
                <w:rFonts w:ascii="Nunito Sans" w:cs="Nunito Sans" w:eastAsia="Nunito Sans" w:hAnsi="Nunito Sans"/>
                <w:color w:val="000000"/>
                <w:sz w:val="22"/>
                <w:szCs w:val="22"/>
              </w:rPr>
              <w:t xml:space="preserve">Jake@bimgroup.us</w:t>
            </w:r>
          </w:p>
          <w:p>
            <w:pPr>
              <w:spacing w:after="60"/>
            </w:pPr>
            <w:r>
              <w:rPr>
                <w:rFonts w:ascii="Nunito Sans" w:cs="Nunito Sans" w:eastAsia="Nunito Sans" w:hAnsi="Nunito Sans"/>
                <w:color w:val="000000"/>
                <w:sz w:val="22"/>
                <w:szCs w:val="22"/>
              </w:rPr>
              <w:t xml:space="preserve">502-551-3196</w:t>
            </w:r>
          </w:p>
          <w:p>
            <w:pPr>
              <w:spacing w:after="60"/>
            </w:pPr>
            <w:r>
              <w:rPr>
                <w:rFonts w:ascii="Nunito Sans" w:cs="Nunito Sans" w:eastAsia="Nunito Sans" w:hAnsi="Nunito Sans"/>
                <w:color w:val="000000"/>
                <w:sz w:val="22"/>
                <w:szCs w:val="22"/>
              </w:rPr>
              <w:t xml:space="preserve">8 LGU accounts managed</w:t>
            </w:r>
          </w:p>
          <w:p>
            <w:pPr>
              <w:spacing w:after="60"/>
            </w:pPr>
            <w:r>
              <w:rPr>
                <w:rFonts w:ascii="Nunito Sans" w:cs="Nunito Sans" w:eastAsia="Nunito Sans" w:hAnsi="Nunito Sans"/>
                <w:color w:val="000000"/>
                <w:sz w:val="22"/>
                <w:szCs w:val="22"/>
              </w:rPr>
              <w:t xml:space="preserve">12+ years tenure</w:t>
            </w:r>
          </w:p>
          <w:p>
            <w:pPr>
              <w:spacing w:after="60"/>
            </w:pPr>
            <w:r>
              <w:rPr>
                <w:rFonts w:ascii="Nunito Sans" w:cs="Nunito Sans" w:eastAsia="Nunito Sans" w:hAnsi="Nunito Sans"/>
                <w:color w:val="000000"/>
                <w:sz w:val="22"/>
                <w:szCs w:val="22"/>
              </w:rPr>
              <w:t xml:space="preserve">25%</w:t>
            </w:r>
          </w:p>
          <w:p>
            <w:pPr>
              <w:spacing w:after="60"/>
            </w:pPr>
            <w:r>
              <w:rPr>
                <w:rFonts w:ascii="Nunito Sans" w:cs="Nunito Sans" w:eastAsia="Nunito Sans" w:hAnsi="Nunito Sans"/>
                <w:color w:val="000000"/>
                <w:sz w:val="22"/>
                <w:szCs w:val="22"/>
              </w:rPr>
              <w:t xml:space="preserve">Heather Taylor, REBC</w:t>
            </w:r>
          </w:p>
          <w:p>
            <w:pPr>
              <w:spacing w:after="60"/>
            </w:pPr>
            <w:r>
              <w:rPr>
                <w:rFonts w:ascii="Nunito Sans" w:cs="Nunito Sans" w:eastAsia="Nunito Sans" w:hAnsi="Nunito Sans"/>
                <w:color w:val="000000"/>
                <w:sz w:val="22"/>
                <w:szCs w:val="22"/>
              </w:rPr>
              <w:t xml:space="preserve">Sr. Director of Client Experience</w:t>
            </w:r>
          </w:p>
          <w:p>
            <w:pPr>
              <w:spacing w:after="60"/>
            </w:pPr>
            <w:r>
              <w:rPr>
                <w:rFonts w:ascii="Nunito Sans" w:cs="Nunito Sans" w:eastAsia="Nunito Sans" w:hAnsi="Nunito Sans"/>
                <w:color w:val="000000"/>
                <w:sz w:val="22"/>
                <w:szCs w:val="22"/>
              </w:rPr>
              <w:t xml:space="preserve">Heather@bimgroup.us</w:t>
            </w:r>
          </w:p>
          <w:p>
            <w:pPr>
              <w:spacing w:after="60"/>
            </w:pPr>
            <w:r>
              <w:rPr>
                <w:rFonts w:ascii="Nunito Sans" w:cs="Nunito Sans" w:eastAsia="Nunito Sans" w:hAnsi="Nunito Sans"/>
                <w:color w:val="000000"/>
                <w:sz w:val="22"/>
                <w:szCs w:val="22"/>
              </w:rPr>
              <w:t xml:space="preserve">859.797.8480</w:t>
            </w:r>
          </w:p>
          <w:p>
            <w:pPr>
              <w:spacing w:after="60"/>
            </w:pPr>
            <w:r>
              <w:rPr>
                <w:rFonts w:ascii="Nunito Sans" w:cs="Nunito Sans" w:eastAsia="Nunito Sans" w:hAnsi="Nunito Sans"/>
                <w:color w:val="000000"/>
                <w:sz w:val="22"/>
                <w:szCs w:val="22"/>
              </w:rPr>
              <w:t xml:space="preserve">15+ years tenure</w:t>
            </w:r>
          </w:p>
          <w:p>
            <w:pPr>
              <w:spacing w:after="60"/>
            </w:pPr>
            <w:r>
              <w:rPr>
                <w:rFonts w:ascii="Nunito Sans" w:cs="Nunito Sans" w:eastAsia="Nunito Sans" w:hAnsi="Nunito Sans"/>
                <w:color w:val="000000"/>
                <w:sz w:val="22"/>
                <w:szCs w:val="22"/>
              </w:rPr>
              <w:t xml:space="preserve">Enterprise Resource</w:t>
            </w:r>
          </w:p>
          <w:p>
            <w:pPr>
              <w:spacing w:after="60"/>
            </w:pPr>
            <w:r>
              <w:rPr>
                <w:rFonts w:ascii="Nunito Sans" w:cs="Nunito Sans" w:eastAsia="Nunito Sans" w:hAnsi="Nunito Sans"/>
                <w:color w:val="000000"/>
                <w:sz w:val="22"/>
                <w:szCs w:val="22"/>
              </w:rPr>
              <w:t xml:space="preserve">5%</w:t>
            </w:r>
          </w:p>
          <w:p>
            <w:pPr>
              <w:spacing w:after="60"/>
            </w:pPr>
            <w:r>
              <w:rPr>
                <w:rFonts w:ascii="Nunito Sans" w:cs="Nunito Sans" w:eastAsia="Nunito Sans" w:hAnsi="Nunito Sans"/>
                <w:color w:val="000000"/>
                <w:sz w:val="22"/>
                <w:szCs w:val="22"/>
              </w:rPr>
              <w:t xml:space="preserve">Morgan Tiemann</w:t>
            </w:r>
          </w:p>
          <w:p>
            <w:pPr>
              <w:spacing w:after="60"/>
            </w:pPr>
            <w:r>
              <w:rPr>
                <w:rFonts w:ascii="Nunito Sans" w:cs="Nunito Sans" w:eastAsia="Nunito Sans" w:hAnsi="Nunito Sans"/>
                <w:color w:val="000000"/>
                <w:sz w:val="22"/>
                <w:szCs w:val="22"/>
              </w:rPr>
              <w:t xml:space="preserve">Client Communications and Health Improvement Strategies</w:t>
            </w:r>
          </w:p>
          <w:p>
            <w:pPr>
              <w:spacing w:after="60"/>
            </w:pPr>
            <w:r>
              <w:rPr>
                <w:rFonts w:ascii="Nunito Sans" w:cs="Nunito Sans" w:eastAsia="Nunito Sans" w:hAnsi="Nunito Sans"/>
                <w:color w:val="000000"/>
                <w:sz w:val="22"/>
                <w:szCs w:val="22"/>
              </w:rPr>
              <w:t xml:space="preserve">Morgan@bimgroup.us</w:t>
            </w:r>
          </w:p>
          <w:p>
            <w:pPr>
              <w:spacing w:after="60"/>
            </w:pPr>
            <w:r>
              <w:rPr>
                <w:rFonts w:ascii="Nunito Sans" w:cs="Nunito Sans" w:eastAsia="Nunito Sans" w:hAnsi="Nunito Sans"/>
                <w:color w:val="000000"/>
                <w:sz w:val="22"/>
                <w:szCs w:val="22"/>
              </w:rPr>
              <w:t xml:space="preserve">219-465-8208</w:t>
            </w:r>
          </w:p>
          <w:p>
            <w:pPr>
              <w:spacing w:after="60"/>
            </w:pPr>
            <w:r>
              <w:rPr>
                <w:rFonts w:ascii="Nunito Sans" w:cs="Nunito Sans" w:eastAsia="Nunito Sans" w:hAnsi="Nunito Sans"/>
                <w:color w:val="000000"/>
                <w:sz w:val="22"/>
                <w:szCs w:val="22"/>
              </w:rPr>
              <w:t xml:space="preserve">15+ years experience</w:t>
            </w:r>
          </w:p>
          <w:p>
            <w:pPr>
              <w:spacing w:after="60"/>
            </w:pPr>
            <w:r>
              <w:rPr>
                <w:rFonts w:ascii="Nunito Sans" w:cs="Nunito Sans" w:eastAsia="Nunito Sans" w:hAnsi="Nunito Sans"/>
                <w:color w:val="000000"/>
                <w:sz w:val="22"/>
                <w:szCs w:val="22"/>
              </w:rPr>
              <w:t xml:space="preserve">Enterprise Resource</w:t>
            </w:r>
          </w:p>
          <w:p>
            <w:pPr>
              <w:spacing w:after="60"/>
            </w:pPr>
            <w:r>
              <w:rPr>
                <w:rFonts w:ascii="Nunito Sans" w:cs="Nunito Sans" w:eastAsia="Nunito Sans" w:hAnsi="Nunito Sans"/>
                <w:color w:val="000000"/>
                <w:sz w:val="22"/>
                <w:szCs w:val="22"/>
              </w:rPr>
              <w:t xml:space="preserve">Lauren Johnson</w:t>
            </w:r>
          </w:p>
          <w:p>
            <w:pPr>
              <w:spacing w:after="60"/>
            </w:pPr>
            <w:r>
              <w:rPr>
                <w:rFonts w:ascii="Nunito Sans" w:cs="Nunito Sans" w:eastAsia="Nunito Sans" w:hAnsi="Nunito Sans"/>
                <w:color w:val="000000"/>
                <w:sz w:val="22"/>
                <w:szCs w:val="22"/>
              </w:rPr>
              <w:t xml:space="preserve">Compliance Consultant (contracted, integrated team member)</w:t>
            </w:r>
          </w:p>
          <w:p>
            <w:pPr>
              <w:spacing w:after="60"/>
            </w:pPr>
            <w:r>
              <w:rPr>
                <w:rFonts w:ascii="Nunito Sans" w:cs="Nunito Sans" w:eastAsia="Nunito Sans" w:hAnsi="Nunito Sans"/>
                <w:color w:val="000000"/>
                <w:sz w:val="22"/>
                <w:szCs w:val="22"/>
              </w:rPr>
              <w:t xml:space="preserve">Lauren@bimgroup.us</w:t>
            </w:r>
          </w:p>
          <w:p>
            <w:pPr>
              <w:spacing w:after="60"/>
            </w:pPr>
            <w:r>
              <w:rPr>
                <w:rFonts w:ascii="Nunito Sans" w:cs="Nunito Sans" w:eastAsia="Nunito Sans" w:hAnsi="Nunito Sans"/>
                <w:color w:val="000000"/>
                <w:sz w:val="22"/>
                <w:szCs w:val="22"/>
              </w:rPr>
              <w:t xml:space="preserve">859-421-3184</w:t>
            </w:r>
          </w:p>
          <w:p>
            <w:pPr>
              <w:spacing w:after="60"/>
            </w:pPr>
            <w:r>
              <w:rPr>
                <w:rFonts w:ascii="Nunito Sans" w:cs="Nunito Sans" w:eastAsia="Nunito Sans" w:hAnsi="Nunito Sans"/>
                <w:color w:val="000000"/>
                <w:sz w:val="22"/>
                <w:szCs w:val="22"/>
              </w:rPr>
              <w:t xml:space="preserve">26+ years experience</w:t>
            </w:r>
          </w:p>
          <w:p>
            <w:pPr>
              <w:spacing w:after="60"/>
            </w:pPr>
            <w:r>
              <w:rPr>
                <w:rFonts w:ascii="Nunito Sans" w:cs="Nunito Sans" w:eastAsia="Nunito Sans" w:hAnsi="Nunito Sans"/>
                <w:color w:val="000000"/>
                <w:sz w:val="22"/>
                <w:szCs w:val="22"/>
              </w:rPr>
              <w:t xml:space="preserve">Enterprise Resource</w:t>
            </w:r>
          </w:p>
          <w:p>
            <w:pPr>
              <w:spacing w:after="60"/>
            </w:pPr>
            <w:r>
              <w:rPr>
                <w:rFonts w:ascii="Nunito Sans" w:cs="Nunito Sans" w:eastAsia="Nunito Sans" w:hAnsi="Nunito Sans"/>
                <w:color w:val="000000"/>
                <w:sz w:val="22"/>
                <w:szCs w:val="22"/>
              </w:rPr>
              <w:t xml:space="preserve">10%</w:t>
            </w:r>
          </w:p>
          <w:p>
            <w:pPr>
              <w:spacing w:after="60"/>
            </w:pPr>
            <w:r>
              <w:rPr>
                <w:rFonts w:ascii="Nunito Sans" w:cs="Nunito Sans" w:eastAsia="Nunito Sans" w:hAnsi="Nunito Sans"/>
                <w:color w:val="000000"/>
                <w:sz w:val="22"/>
                <w:szCs w:val="22"/>
              </w:rPr>
              <w:t xml:space="preserve">Tabatha George</w:t>
            </w:r>
          </w:p>
          <w:p>
            <w:pPr>
              <w:spacing w:after="60"/>
            </w:pPr>
            <w:r>
              <w:rPr>
                <w:rFonts w:ascii="Nunito Sans" w:cs="Nunito Sans" w:eastAsia="Nunito Sans" w:hAnsi="Nunito Sans"/>
                <w:color w:val="000000"/>
                <w:sz w:val="22"/>
                <w:szCs w:val="22"/>
              </w:rPr>
              <w:t xml:space="preserve">ERISA/Compliance Attorney (contracted, integrated team member)</w:t>
            </w:r>
          </w:p>
          <w:p>
            <w:pPr>
              <w:spacing w:after="60"/>
            </w:pPr>
            <w:r>
              <w:rPr>
                <w:rFonts w:ascii="Nunito Sans" w:cs="Nunito Sans" w:eastAsia="Nunito Sans" w:hAnsi="Nunito Sans"/>
                <w:color w:val="000000"/>
                <w:sz w:val="22"/>
                <w:szCs w:val="22"/>
              </w:rPr>
              <w:t xml:space="preserve">The Benefits Practice, LLC</w:t>
            </w:r>
          </w:p>
          <w:p>
            <w:pPr>
              <w:spacing w:after="60"/>
            </w:pPr>
            <w:r>
              <w:rPr>
                <w:rFonts w:ascii="Nunito Sans" w:cs="Nunito Sans" w:eastAsia="Nunito Sans" w:hAnsi="Nunito Sans"/>
                <w:color w:val="000000"/>
                <w:sz w:val="22"/>
                <w:szCs w:val="22"/>
              </w:rPr>
              <w:t xml:space="preserve">tgeorge@thebenefitspractice.com</w:t>
            </w:r>
          </w:p>
          <w:p>
            <w:pPr>
              <w:spacing w:after="60"/>
            </w:pPr>
            <w:r>
              <w:rPr>
                <w:rFonts w:ascii="Nunito Sans" w:cs="Nunito Sans" w:eastAsia="Nunito Sans" w:hAnsi="Nunito Sans"/>
                <w:color w:val="000000"/>
                <w:sz w:val="22"/>
                <w:szCs w:val="22"/>
              </w:rPr>
              <w:t xml:space="preserve">(504) 434-4986</w:t>
            </w:r>
          </w:p>
          <w:p>
            <w:pPr>
              <w:spacing w:after="60"/>
            </w:pPr>
            <w:r>
              <w:rPr>
                <w:rFonts w:ascii="Nunito Sans" w:cs="Nunito Sans" w:eastAsia="Nunito Sans" w:hAnsi="Nunito Sans"/>
                <w:color w:val="000000"/>
                <w:sz w:val="22"/>
                <w:szCs w:val="22"/>
              </w:rPr>
              <w:t xml:space="preserve">20+ years experience</w:t>
            </w:r>
          </w:p>
          <w:p>
            <w:pPr>
              <w:spacing w:after="60"/>
            </w:pPr>
            <w:r>
              <w:rPr>
                <w:rFonts w:ascii="Nunito Sans" w:cs="Nunito Sans" w:eastAsia="Nunito Sans" w:hAnsi="Nunito Sans"/>
                <w:color w:val="000000"/>
                <w:sz w:val="22"/>
                <w:szCs w:val="22"/>
              </w:rPr>
              <w:t xml:space="preserve">Enterprise Resource</w:t>
            </w:r>
          </w:p>
          <w:p>
            <w:pPr>
              <w:spacing w:after="60"/>
            </w:pPr>
            <w:r>
              <w:rPr>
                <w:rFonts w:ascii="Nunito Sans" w:cs="Nunito Sans" w:eastAsia="Nunito Sans" w:hAnsi="Nunito Sans"/>
                <w:color w:val="000000"/>
                <w:sz w:val="22"/>
                <w:szCs w:val="22"/>
              </w:rPr>
              <w:t xml:space="preserve">April Satterly, CPC</w:t>
            </w:r>
          </w:p>
          <w:p>
            <w:pPr>
              <w:spacing w:after="60"/>
            </w:pPr>
            <w:r>
              <w:rPr>
                <w:rFonts w:ascii="Nunito Sans" w:cs="Nunito Sans" w:eastAsia="Nunito Sans" w:hAnsi="Nunito Sans"/>
                <w:color w:val="000000"/>
                <w:sz w:val="22"/>
                <w:szCs w:val="22"/>
              </w:rPr>
              <w:t xml:space="preserve">Client Service Concierge</w:t>
            </w:r>
          </w:p>
          <w:p>
            <w:pPr>
              <w:spacing w:after="60"/>
            </w:pPr>
            <w:r>
              <w:rPr>
                <w:rFonts w:ascii="Nunito Sans" w:cs="Nunito Sans" w:eastAsia="Nunito Sans" w:hAnsi="Nunito Sans"/>
                <w:color w:val="000000"/>
                <w:sz w:val="22"/>
                <w:szCs w:val="22"/>
              </w:rPr>
              <w:t xml:space="preserve">April@bimgroup.us</w:t>
            </w:r>
          </w:p>
          <w:p>
            <w:pPr>
              <w:spacing w:after="60"/>
            </w:pPr>
            <w:r>
              <w:rPr>
                <w:rFonts w:ascii="Nunito Sans" w:cs="Nunito Sans" w:eastAsia="Nunito Sans" w:hAnsi="Nunito Sans"/>
                <w:color w:val="000000"/>
                <w:sz w:val="22"/>
                <w:szCs w:val="22"/>
              </w:rPr>
              <w:t xml:space="preserve">Ph 859.255.9455, ext 1127</w:t>
            </w:r>
          </w:p>
          <w:p>
            <w:pPr>
              <w:spacing w:after="60"/>
            </w:pPr>
            <w:r>
              <w:rPr>
                <w:rFonts w:ascii="Nunito Sans" w:cs="Nunito Sans" w:eastAsia="Nunito Sans" w:hAnsi="Nunito Sans"/>
                <w:color w:val="000000"/>
                <w:sz w:val="22"/>
                <w:szCs w:val="22"/>
              </w:rPr>
              <w:t xml:space="preserve">10+ years experience</w:t>
            </w:r>
          </w:p>
          <w:p>
            <w:pPr>
              <w:spacing w:after="0"/>
            </w:pPr>
            <w:r>
              <w:rPr>
                <w:rFonts w:ascii="Nunito Sans" w:cs="Nunito Sans" w:eastAsia="Nunito Sans" w:hAnsi="Nunito Sans"/>
                <w:color w:val="000000"/>
                <w:sz w:val="22"/>
                <w:szCs w:val="22"/>
              </w:rPr>
              <w:t xml:space="preserve">Enterprise Resource</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and % of their time to be allocated to this account</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While we have provided estimated team allocation percentages in response to this request, Bim Group does not manage client service through rigid time allocations. Instead, we evaluate account load across multiple dimensions, including industry, capacity, funding strategy, plan complexity, and renewal timing, so that every client receives the responsiveness they deserve. Our client-to-staff ratios are among the best in the market, and our service model is built around capacity, not just headcount.</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3. Attach biographies of each member of your proposed EMH service team</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Biographies for all team members who will serve the Ephraim McDowell account are provided in Exhibits.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18"/>
                <w:szCs w:val="18"/>
              </w:rPr>
              <w:t xml:space="preserve">Bim Group Team Biographies</w:t>
            </w:r>
          </w:p>
        </w:tc>
      </w:tr>
      <w:tr>
        <w:tc>
          <w:tcPr>
            <w:tcW w:type="dxa" w:w="9360"/>
            <w:gridSpan w:val="3"/>
            <w:tcBorders>
              <w:top w:val="single" w:color="D6D8D8" w:sz="1"/>
              <w:left w:val="single" w:color="D6D8D8" w:sz="1"/>
              <w:bottom w:val="single" w:color="D6D8D8" w:sz="1"/>
              <w:right w:val="single" w:color="D6D8D8" w:sz="1"/>
            </w:tcBorders>
            <w:shd w:fill="D6D8D8" w:val="clear"/>
            <w:tcMar>
              <w:top w:type="dxa" w:w="120"/>
              <w:left w:type="dxa" w:w="160"/>
              <w:bottom w:type="dxa" w:w="120"/>
              <w:right w:type="dxa" w:w="160"/>
            </w:tcMar>
          </w:tcPr>
          <w:p>
            <w:r>
              <w:rPr>
                <w:rFonts w:ascii="Nunito Sans" w:cs="Nunito Sans" w:eastAsia="Nunito Sans" w:hAnsi="Nunito Sans"/>
                <w:b/>
                <w:bCs/>
                <w:color w:val="004990"/>
                <w:sz w:val="22"/>
                <w:szCs w:val="22"/>
              </w:rPr>
              <w:t xml:space="preserve">C. OPTIONAL SERVICE OFFERINGS</w:t>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1. List other services available related to Health and Wellness, including typical costs and demonstrated ROI</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60"/>
            </w:pPr>
            <w:r>
              <w:rPr>
                <w:rFonts w:ascii="Nunito Sans" w:cs="Nunito Sans" w:eastAsia="Nunito Sans" w:hAnsi="Nunito Sans"/>
                <w:color w:val="000000"/>
                <w:sz w:val="22"/>
                <w:szCs w:val="22"/>
              </w:rPr>
              <w:t xml:space="preserve">Bim Group takes a consultative, cross-disciplinary approach to health and wellness programming, continuously evaluating carrier, TPA, disease management, and community wellness vendors at both the local and national level. We have built an extensive, vetted library of point solutions and firmly believe effective programming must be tailored to each employer's workforce and goals. Our approach goes beyond vendor selection. We integrate claims data through our analytics partners to help wellness vendors develop and refine truly customized programs, including facilitating direct data connectivity at the employer's request. We also design and support plan structures, member communications, internal training, and legal review so each client's health improvement strategy is both compliant and effective.</w:t>
            </w:r>
          </w:p>
          <w:p>
            <w:pPr>
              <w:spacing w:after="60"/>
            </w:pPr>
            <w:r>
              <w:rPr>
                <w:rFonts w:ascii="Nunito Sans" w:cs="Nunito Sans" w:eastAsia="Nunito Sans" w:hAnsi="Nunito Sans"/>
                <w:color w:val="000000"/>
                <w:sz w:val="22"/>
                <w:szCs w:val="22"/>
              </w:rPr>
              <w:t xml:space="preserve">A distinguishing element of our perspective comes from our healthcare provider clients. Their direct experience caring for members has shaped our best-practice guidance and reinforces our belief that meaningful health change happens in the relationship between provider and patient. We keep all clients informed through a consistent cadence of resources, including monthly webinars, bi-weekly market trend summaries, virtual Q&amp;A sessions, and client-specific strategy discussions during annual renewal and planning conversations.</w:t>
            </w:r>
          </w:p>
          <w:p>
            <w:pPr>
              <w:spacing w:after="0"/>
            </w:pPr>
            <w:r>
              <w:rPr>
                <w:rFonts w:ascii="Nunito Sans" w:cs="Nunito Sans" w:eastAsia="Nunito Sans" w:hAnsi="Nunito Sans"/>
                <w:color w:val="000000"/>
                <w:sz w:val="22"/>
                <w:szCs w:val="22"/>
              </w:rPr>
              <w:t xml:space="preserve">Typical Costs and ROI: Bim Group recommends wellness and disease management solutions based on employer size, claims profile, and strategic priorities. Costs vary by vendor and program scope, and we help clients evaluate return on investment through claims trend analysis, utilization data, and program-specific reporting. We do not endorse a one-size-fits-all cost structure, and we provide side-by-side vendor comparisons as part of our standard consulting process.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18"/>
                <w:szCs w:val="18"/>
              </w:rPr>
              <w:t xml:space="preserve">Point Solutions</w:t>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2. List past three months webinars. Describe other contiuing education offered within the PEPM fees</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Continuing education within PEPM includes monthly UBA webinars with 1 HRCI credit and 1 SHRM credit, quarterly legislative briefings, and on-demand compliance content via UBA Mineral. The last three months of UBA webinars were: 5/12/26 "Comparing Small Group and Large Group Compliance Requirements"; 4/14/26 "Managing Section 125 Plans, Qualifying Events, and Special Enrollment Periods"; 3/10/26 "Structuring Employee Classes and Carve-Outs within ACA Limits". We also host an annual Work Day at the Races event at Keeneland Racetrack, featuring presentations on several of the most consequential trends employers face in managing employee benefit programs.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9360"/>
            <w:gridSpan w:val="3"/>
            <w:tcBorders>
              <w:top w:val="single" w:color="D6D8D8" w:sz="1"/>
              <w:left w:val="single" w:color="D6D8D8" w:sz="1"/>
              <w:bottom w:val="single" w:color="D6D8D8" w:sz="1"/>
              <w:right w:val="single" w:color="D6D8D8" w:sz="1"/>
            </w:tcBorders>
            <w:shd w:fill="D6D8D8" w:val="clear"/>
            <w:tcMar>
              <w:top w:type="dxa" w:w="120"/>
              <w:left w:type="dxa" w:w="160"/>
              <w:bottom w:type="dxa" w:w="120"/>
              <w:right w:type="dxa" w:w="160"/>
            </w:tcMar>
          </w:tcPr>
          <w:p>
            <w:r>
              <w:rPr>
                <w:rFonts w:ascii="Nunito Sans" w:cs="Nunito Sans" w:eastAsia="Nunito Sans" w:hAnsi="Nunito Sans"/>
                <w:b/>
                <w:bCs/>
                <w:color w:val="004990"/>
                <w:sz w:val="22"/>
                <w:szCs w:val="22"/>
              </w:rPr>
              <w:t xml:space="preserve">D. REFERENCES</w:t>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1. Provide three client references, preferably of similar size and service complexity. Please include contact name, job title, address, phone number, email, and length of time associated with your firm. Include number of covered lives on group medical plan, and any measurable outcomes in employee satisfaction or savings available</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60"/>
            </w:pPr>
            <w:r>
              <w:rPr>
                <w:rFonts w:ascii="Nunito Sans" w:cs="Nunito Sans" w:eastAsia="Nunito Sans" w:hAnsi="Nunito Sans"/>
                <w:color w:val="000000"/>
                <w:sz w:val="22"/>
                <w:szCs w:val="22"/>
              </w:rPr>
              <w:t xml:space="preserve">REFERENCE 1: PIKEVILLE MEDICAL CENTER, INC.</w:t>
            </w:r>
          </w:p>
          <w:p>
            <w:pPr>
              <w:spacing w:after="60"/>
            </w:pPr>
            <w:r>
              <w:rPr>
                <w:rFonts w:ascii="Nunito Sans" w:cs="Nunito Sans" w:eastAsia="Nunito Sans" w:hAnsi="Nunito Sans"/>
                <w:color w:val="000000"/>
                <w:sz w:val="22"/>
                <w:szCs w:val="22"/>
              </w:rPr>
              <w:t xml:space="preserve">Address: 911 Bypass Rd., Pikeville, KY 41501</w:t>
            </w:r>
          </w:p>
          <w:p>
            <w:pPr>
              <w:spacing w:after="60"/>
            </w:pPr>
            <w:r>
              <w:rPr>
                <w:rFonts w:ascii="Nunito Sans" w:cs="Nunito Sans" w:eastAsia="Nunito Sans" w:hAnsi="Nunito Sans"/>
                <w:color w:val="000000"/>
                <w:sz w:val="22"/>
                <w:szCs w:val="22"/>
              </w:rPr>
              <w:t xml:space="preserve">Contact: Mike Davis, Senior Compensation &amp; Benefits Analyst</w:t>
            </w:r>
          </w:p>
          <w:p>
            <w:pPr>
              <w:spacing w:after="60"/>
            </w:pPr>
            <w:r>
              <w:rPr>
                <w:rFonts w:ascii="Nunito Sans" w:cs="Nunito Sans" w:eastAsia="Nunito Sans" w:hAnsi="Nunito Sans"/>
                <w:color w:val="000000"/>
                <w:sz w:val="22"/>
                <w:szCs w:val="22"/>
              </w:rPr>
              <w:t xml:space="preserve">Phone: 606-430-3504</w:t>
            </w:r>
          </w:p>
          <w:p>
            <w:pPr>
              <w:spacing w:after="60"/>
            </w:pPr>
            <w:r>
              <w:rPr>
                <w:rFonts w:ascii="Nunito Sans" w:cs="Nunito Sans" w:eastAsia="Nunito Sans" w:hAnsi="Nunito Sans"/>
                <w:color w:val="000000"/>
                <w:sz w:val="22"/>
                <w:szCs w:val="22"/>
              </w:rPr>
              <w:t xml:space="preserve">Email: mike.davis@pikevillehospital.org</w:t>
            </w:r>
          </w:p>
          <w:p>
            <w:pPr>
              <w:spacing w:after="60"/>
            </w:pPr>
            <w:r>
              <w:rPr>
                <w:rFonts w:ascii="Nunito Sans" w:cs="Nunito Sans" w:eastAsia="Nunito Sans" w:hAnsi="Nunito Sans"/>
                <w:color w:val="000000"/>
                <w:sz w:val="22"/>
                <w:szCs w:val="22"/>
              </w:rPr>
              <w:t xml:space="preserve">Length of relationship: 12+ years (origination 2/1/2014)</w:t>
            </w:r>
          </w:p>
          <w:p>
            <w:pPr>
              <w:spacing w:after="60"/>
            </w:pPr>
            <w:r>
              <w:rPr>
                <w:rFonts w:ascii="Nunito Sans" w:cs="Nunito Sans" w:eastAsia="Nunito Sans" w:hAnsi="Nunito Sans"/>
                <w:color w:val="000000"/>
                <w:sz w:val="22"/>
                <w:szCs w:val="22"/>
              </w:rPr>
              <w:t xml:space="preserve">Enrolled employees: 2,749 (medical covered lives)</w:t>
            </w:r>
          </w:p>
          <w:p>
            <w:pPr>
              <w:spacing w:after="60"/>
            </w:pPr>
            <w:r>
              <w:rPr>
                <w:rFonts w:ascii="Nunito Sans" w:cs="Nunito Sans" w:eastAsia="Nunito Sans" w:hAnsi="Nunito Sans"/>
                <w:color w:val="000000"/>
                <w:sz w:val="22"/>
                <w:szCs w:val="22"/>
              </w:rPr>
              <w:t xml:space="preserve">Outcomes: Identified $1.4M in savings (16.5%) by transitioning to a lower-cost TPA within the same network and implementing a new PBM.</w:t>
            </w:r>
          </w:p>
          <w:p>
            <w:pPr>
              <w:spacing w:after="60"/>
            </w:pPr>
            <w:r>
              <w:rPr>
                <w:rFonts w:ascii="Nunito Sans" w:cs="Nunito Sans" w:eastAsia="Nunito Sans" w:hAnsi="Nunito Sans"/>
                <w:color w:val="000000"/>
                <w:sz w:val="22"/>
                <w:szCs w:val="22"/>
              </w:rPr>
              <w:t xml:space="preserve">REFERENCE 2: LEXINGTON CLINIC</w:t>
            </w:r>
          </w:p>
          <w:p>
            <w:pPr>
              <w:spacing w:after="60"/>
            </w:pPr>
            <w:r>
              <w:rPr>
                <w:rFonts w:ascii="Nunito Sans" w:cs="Nunito Sans" w:eastAsia="Nunito Sans" w:hAnsi="Nunito Sans"/>
                <w:color w:val="000000"/>
                <w:sz w:val="22"/>
                <w:szCs w:val="22"/>
              </w:rPr>
              <w:t xml:space="preserve">Address: 1221 South Broadway, Lexington, KY 40504</w:t>
            </w:r>
          </w:p>
          <w:p>
            <w:pPr>
              <w:spacing w:after="60"/>
            </w:pPr>
            <w:r>
              <w:rPr>
                <w:rFonts w:ascii="Nunito Sans" w:cs="Nunito Sans" w:eastAsia="Nunito Sans" w:hAnsi="Nunito Sans"/>
                <w:color w:val="000000"/>
                <w:sz w:val="22"/>
                <w:szCs w:val="22"/>
              </w:rPr>
              <w:t xml:space="preserve">Contact: Suellen Flora, Director of Payroll &amp; Benefits</w:t>
            </w:r>
          </w:p>
          <w:p>
            <w:pPr>
              <w:spacing w:after="60"/>
            </w:pPr>
            <w:r>
              <w:rPr>
                <w:rFonts w:ascii="Nunito Sans" w:cs="Nunito Sans" w:eastAsia="Nunito Sans" w:hAnsi="Nunito Sans"/>
                <w:color w:val="000000"/>
                <w:sz w:val="22"/>
                <w:szCs w:val="22"/>
              </w:rPr>
              <w:t xml:space="preserve">Phone: 859-258-6057</w:t>
            </w:r>
          </w:p>
          <w:p>
            <w:pPr>
              <w:spacing w:after="60"/>
            </w:pPr>
            <w:r>
              <w:rPr>
                <w:rFonts w:ascii="Nunito Sans" w:cs="Nunito Sans" w:eastAsia="Nunito Sans" w:hAnsi="Nunito Sans"/>
                <w:color w:val="000000"/>
                <w:sz w:val="22"/>
                <w:szCs w:val="22"/>
              </w:rPr>
              <w:t xml:space="preserve">Email: sflor@lexclin.com</w:t>
            </w:r>
          </w:p>
          <w:p>
            <w:pPr>
              <w:spacing w:after="60"/>
            </w:pPr>
            <w:r>
              <w:rPr>
                <w:rFonts w:ascii="Nunito Sans" w:cs="Nunito Sans" w:eastAsia="Nunito Sans" w:hAnsi="Nunito Sans"/>
                <w:color w:val="000000"/>
                <w:sz w:val="22"/>
                <w:szCs w:val="22"/>
              </w:rPr>
              <w:t xml:space="preserve">Length of relationship: 12+ years (origination 7/1/2013)</w:t>
            </w:r>
          </w:p>
          <w:p>
            <w:pPr>
              <w:spacing w:after="60"/>
            </w:pPr>
            <w:r>
              <w:rPr>
                <w:rFonts w:ascii="Nunito Sans" w:cs="Nunito Sans" w:eastAsia="Nunito Sans" w:hAnsi="Nunito Sans"/>
                <w:color w:val="000000"/>
                <w:sz w:val="22"/>
                <w:szCs w:val="22"/>
              </w:rPr>
              <w:t xml:space="preserve">Enrolled employees: 1,032 (medical covered lives)</w:t>
            </w:r>
          </w:p>
          <w:p>
            <w:pPr>
              <w:spacing w:after="60"/>
            </w:pPr>
            <w:r>
              <w:rPr>
                <w:rFonts w:ascii="Nunito Sans" w:cs="Nunito Sans" w:eastAsia="Nunito Sans" w:hAnsi="Nunito Sans"/>
                <w:color w:val="000000"/>
                <w:sz w:val="22"/>
                <w:szCs w:val="22"/>
              </w:rPr>
              <w:t xml:space="preserve">Outcomes: Navigated a large fully insured renewal increase by transitioning to self-funding and establishing a domestic/tier-1 benefit and a customized domestic fee structure. The result was a 17% decrease from renewal, or $2.4M in annual savings versus fully insured. We also implemented a pharmacy strategy that routes specific drugs to a partnering hospital to achieve 340B pricing, projected to save 12.5% on those drugs.</w:t>
            </w:r>
          </w:p>
          <w:p>
            <w:pPr>
              <w:spacing w:after="60"/>
            </w:pPr>
            <w:r>
              <w:rPr>
                <w:rFonts w:ascii="Nunito Sans" w:cs="Nunito Sans" w:eastAsia="Nunito Sans" w:hAnsi="Nunito Sans"/>
                <w:color w:val="000000"/>
                <w:sz w:val="22"/>
                <w:szCs w:val="22"/>
              </w:rPr>
              <w:t xml:space="preserve">REFERENCE 3: ASTEMO AMERICAS INC.</w:t>
            </w:r>
          </w:p>
          <w:p>
            <w:pPr>
              <w:spacing w:after="60"/>
            </w:pPr>
            <w:r>
              <w:rPr>
                <w:rFonts w:ascii="Nunito Sans" w:cs="Nunito Sans" w:eastAsia="Nunito Sans" w:hAnsi="Nunito Sans"/>
                <w:color w:val="000000"/>
                <w:sz w:val="22"/>
                <w:szCs w:val="22"/>
              </w:rPr>
              <w:t xml:space="preserve">Address: 955 Warwick Rd., Harrodsburg, KY 40330</w:t>
            </w:r>
          </w:p>
          <w:p>
            <w:pPr>
              <w:spacing w:after="60"/>
            </w:pPr>
            <w:r>
              <w:rPr>
                <w:rFonts w:ascii="Nunito Sans" w:cs="Nunito Sans" w:eastAsia="Nunito Sans" w:hAnsi="Nunito Sans"/>
                <w:color w:val="000000"/>
                <w:sz w:val="22"/>
                <w:szCs w:val="22"/>
              </w:rPr>
              <w:t xml:space="preserve">Contact: Shelly Robinson, Head of Total Rewards/DHR, AM Region</w:t>
            </w:r>
          </w:p>
          <w:p>
            <w:pPr>
              <w:spacing w:after="60"/>
            </w:pPr>
            <w:r>
              <w:rPr>
                <w:rFonts w:ascii="Nunito Sans" w:cs="Nunito Sans" w:eastAsia="Nunito Sans" w:hAnsi="Nunito Sans"/>
                <w:color w:val="000000"/>
                <w:sz w:val="22"/>
                <w:szCs w:val="22"/>
              </w:rPr>
              <w:t xml:space="preserve">Phone: 859-734-6547 (mobile: 859-325-5933)</w:t>
            </w:r>
          </w:p>
          <w:p>
            <w:pPr>
              <w:spacing w:after="60"/>
            </w:pPr>
            <w:r>
              <w:rPr>
                <w:rFonts w:ascii="Nunito Sans" w:cs="Nunito Sans" w:eastAsia="Nunito Sans" w:hAnsi="Nunito Sans"/>
                <w:color w:val="000000"/>
                <w:sz w:val="22"/>
                <w:szCs w:val="22"/>
              </w:rPr>
              <w:t xml:space="preserve">Email: shelly.robinson.yz@astemo.com</w:t>
            </w:r>
          </w:p>
          <w:p>
            <w:pPr>
              <w:spacing w:after="60"/>
            </w:pPr>
            <w:r>
              <w:rPr>
                <w:rFonts w:ascii="Nunito Sans" w:cs="Nunito Sans" w:eastAsia="Nunito Sans" w:hAnsi="Nunito Sans"/>
                <w:color w:val="000000"/>
                <w:sz w:val="22"/>
                <w:szCs w:val="22"/>
              </w:rPr>
              <w:t xml:space="preserve">Length of relationship: 15+ years (origination 2010)</w:t>
            </w:r>
          </w:p>
          <w:p>
            <w:pPr>
              <w:spacing w:after="60"/>
            </w:pPr>
            <w:r>
              <w:rPr>
                <w:rFonts w:ascii="Nunito Sans" w:cs="Nunito Sans" w:eastAsia="Nunito Sans" w:hAnsi="Nunito Sans"/>
                <w:color w:val="000000"/>
                <w:sz w:val="22"/>
                <w:szCs w:val="22"/>
              </w:rPr>
              <w:t xml:space="preserve">Enrolled employees: 4,970 (medical covered lives)</w:t>
            </w:r>
          </w:p>
          <w:p>
            <w:pPr>
              <w:spacing w:after="0"/>
            </w:pPr>
            <w:r>
              <w:rPr>
                <w:rFonts w:ascii="Nunito Sans" w:cs="Nunito Sans" w:eastAsia="Nunito Sans" w:hAnsi="Nunito Sans"/>
                <w:color w:val="000000"/>
                <w:sz w:val="22"/>
                <w:szCs w:val="22"/>
              </w:rPr>
              <w:t xml:space="preserve">Outcomes: Moved weight loss drugs from the incumbent PBM's formulary to a direct-to-manufacturer HRA approach, producing an immediate 63% PEPM decrease and projected savings of $3M this plan year.</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bl>
    <w:p>
      <w:pPr>
        <w:pBdr>
          <w:bottom w:val="single" w:color="99FAFF" w:sz="6" w:space="1"/>
        </w:pBdr>
        <w:spacing w:before="120"/>
      </w:pPr>
    </w:p>
    <w:p>
      <w:pPr>
        <w:pStyle w:val="Heading2"/>
      </w:pPr>
      <w:r>
        <w:rPr>
          <w:rFonts w:ascii="Nunito Sans" w:cs="Nunito Sans" w:eastAsia="Nunito Sans" w:hAnsi="Nunito Sans"/>
        </w:rPr>
        <w:t xml:space="preserve">V. SERVICE LEVELS</w:t>
      </w:r>
    </w:p>
    <w:p>
      <w:pPr>
        <w:spacing w:after="120"/>
      </w:pPr>
      <w:r>
        <w:rPr>
          <w:rFonts w:ascii="Nunito Sans" w:cs="Nunito Sans" w:eastAsia="Nunito Sans" w:hAnsi="Nunito Sans"/>
          <w:color w:val="000000"/>
          <w:sz w:val="22"/>
          <w:szCs w:val="22"/>
        </w:rPr>
        <w:t xml:space="preserve">Indicate agreement (Y/N) to requested SLAs listed below . Add a few sentences of description as needed.. Attachments may be referenced, but not without a summary description entered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5400"/>
        <w:gridCol w:w="1660"/>
      </w:tblGrid>
      <w:tr>
        <w:trPr>
          <w:tblHeader/>
        </w:trPr>
        <w:tc>
          <w:tcPr>
            <w:tcW w:type="dxa" w:w="2300"/>
            <w:tcBorders>
              <w:top w:val="single" w:color="D6D8D8" w:sz="1"/>
              <w:left w:val="single" w:color="D6D8D8" w:sz="1"/>
              <w:bottom w:val="single" w:color="D6D8D8" w:sz="1"/>
              <w:right w:val="single" w:color="D6D8D8" w:sz="1"/>
            </w:tcBorders>
            <w:shd w:fill="004990" w:val="clear"/>
            <w:tcMar>
              <w:top w:type="dxa" w:w="120"/>
              <w:left w:type="dxa" w:w="160"/>
              <w:bottom w:type="dxa" w:w="120"/>
              <w:right w:type="dxa" w:w="160"/>
            </w:tcMar>
          </w:tcPr>
          <w:p>
            <w:r>
              <w:rPr>
                <w:rFonts w:ascii="Nunito Sans" w:cs="Nunito Sans" w:eastAsia="Nunito Sans" w:hAnsi="Nunito Sans"/>
                <w:b/>
                <w:bCs/>
                <w:color w:val="FFFFFF"/>
                <w:sz w:val="20"/>
                <w:szCs w:val="20"/>
              </w:rPr>
              <w:t xml:space="preserve">SLA</w:t>
            </w:r>
          </w:p>
        </w:tc>
        <w:tc>
          <w:tcPr>
            <w:tcW w:type="dxa" w:w="5400"/>
            <w:tcBorders>
              <w:top w:val="single" w:color="D6D8D8" w:sz="1"/>
              <w:left w:val="single" w:color="D6D8D8" w:sz="1"/>
              <w:bottom w:val="single" w:color="D6D8D8" w:sz="1"/>
              <w:right w:val="single" w:color="D6D8D8" w:sz="1"/>
            </w:tcBorders>
            <w:shd w:fill="004990" w:val="clear"/>
            <w:tcMar>
              <w:top w:type="dxa" w:w="120"/>
              <w:left w:type="dxa" w:w="160"/>
              <w:bottom w:type="dxa" w:w="120"/>
              <w:right w:type="dxa" w:w="160"/>
            </w:tcMar>
          </w:tcPr>
          <w:p>
            <w:r>
              <w:rPr>
                <w:rFonts w:ascii="Nunito Sans" w:cs="Nunito Sans" w:eastAsia="Nunito Sans" w:hAnsi="Nunito Sans"/>
                <w:b/>
                <w:bCs/>
                <w:color w:val="FFFFFF"/>
                <w:sz w:val="20"/>
                <w:szCs w:val="20"/>
              </w:rPr>
              <w:t xml:space="preserve">Description</w:t>
            </w:r>
          </w:p>
        </w:tc>
        <w:tc>
          <w:tcPr>
            <w:tcW w:type="dxa" w:w="1660"/>
            <w:tcBorders>
              <w:top w:val="single" w:color="D6D8D8" w:sz="1"/>
              <w:left w:val="single" w:color="D6D8D8" w:sz="1"/>
              <w:bottom w:val="single" w:color="D6D8D8" w:sz="1"/>
              <w:right w:val="single" w:color="D6D8D8" w:sz="1"/>
            </w:tcBorders>
            <w:shd w:fill="004990" w:val="clear"/>
            <w:tcMar>
              <w:top w:type="dxa" w:w="120"/>
              <w:left w:type="dxa" w:w="160"/>
              <w:bottom w:type="dxa" w:w="120"/>
              <w:right w:type="dxa" w:w="160"/>
            </w:tcMar>
          </w:tcPr>
          <w:p>
            <w:r>
              <w:rPr>
                <w:rFonts w:ascii="Nunito Sans" w:cs="Nunito Sans" w:eastAsia="Nunito Sans" w:hAnsi="Nunito Sans"/>
                <w:b/>
                <w:bCs/>
                <w:color w:val="FFFFFF"/>
                <w:sz w:val="20"/>
                <w:szCs w:val="20"/>
              </w:rPr>
              <w:t xml:space="preserve">Exhibits</w:t>
            </w:r>
          </w:p>
        </w:tc>
      </w:tr>
      <w:tr>
        <w:tc>
          <w:tcPr>
            <w:tcW w:type="dxa" w:w="9360"/>
            <w:gridSpan w:val="3"/>
            <w:tcBorders>
              <w:top w:val="single" w:color="D6D8D8" w:sz="1"/>
              <w:left w:val="single" w:color="D6D8D8" w:sz="1"/>
              <w:bottom w:val="single" w:color="D6D8D8" w:sz="1"/>
              <w:right w:val="single" w:color="D6D8D8" w:sz="1"/>
            </w:tcBorders>
            <w:shd w:fill="D6D8D8" w:val="clear"/>
            <w:tcMar>
              <w:top w:type="dxa" w:w="120"/>
              <w:left w:type="dxa" w:w="160"/>
              <w:bottom w:type="dxa" w:w="120"/>
              <w:right w:type="dxa" w:w="160"/>
            </w:tcMar>
          </w:tcPr>
          <w:p>
            <w:r>
              <w:rPr>
                <w:rFonts w:ascii="Nunito Sans" w:cs="Nunito Sans" w:eastAsia="Nunito Sans" w:hAnsi="Nunito Sans"/>
                <w:b/>
                <w:bCs/>
                <w:color w:val="004990"/>
                <w:sz w:val="22"/>
                <w:szCs w:val="22"/>
              </w:rPr>
              <w:t xml:space="preserve">A. SERVICE LEVEL EXPECTATIONS</w:t>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1. Broker acknowledges routine HR or employee issues within one business day.</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Yes. One-business-day acknowledgment for all routine HR and employee inquiries.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2. Broker acknowledges urgent issues (e.g., payroll deductions, eligibility blocking care) within 4 business hours.</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Yes. We acknowledge urgent issues within 4 business hours, maintain direct carrier and TPA escalation contacts, and label and track urgent issues in our CRM system.</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3. Critical issues (claims access, enrollment failures, regulatory exposure) will be escalated to senior account leadership within same business day.</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Yes. We immediately escalate critical issues to the Account Executive and Director of Client Experience, and notify EMH leadership the same business day with a status update and action plan.</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4. All issues logged, tracked, and closed with documented resolution and root‑cause notes.</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Yes. We log, track, and close all issues with documented resolution and root-cause notes, and review aggregate issue reports at the client's request.</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5. Renewal strategy, market analysis, and recommendations delivered according to an agreed renewal calendar (e.g., 90/60/30 checkpoints).</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Yes. Our renewal strategy follows an agreed-upon timeline with clearly defined checkpoints throughout. Our proven five-stage annual management process keeps renewal activities on track.</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18"/>
                <w:szCs w:val="18"/>
              </w:rPr>
              <w:t xml:space="preserve">Bim Group Proven Process</w:t>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6. Carrier or vendor RFP processes executed on schedule, with comparative analysis delivered by agreed deadlines.</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Yes. We execute carrier and vendor RFPs on the agreed timeline with structured comparative analysis: plan design equivalency, cost comparison, and a recommendation with rationale.</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7. Standard reports (claims, trend, financials) delivered within 5 business days of data receipt, per agreed cadence.</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Yes. Standard reports delivered within 5 business days of complete data receipt.</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 Provide an example annual and interim report</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Yes. Sample annual and interim reports are included in the exhibits.</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40"/>
            </w:pPr>
            <w:r>
              <w:rPr>
                <w:rFonts w:ascii="Nunito Sans" w:cs="Nunito Sans" w:eastAsia="Nunito Sans" w:hAnsi="Nunito Sans"/>
                <w:color w:val="000000"/>
                <w:sz w:val="18"/>
                <w:szCs w:val="18"/>
              </w:rPr>
              <w:t xml:space="preserve">Monthly Financial Dashboards</w:t>
            </w:r>
          </w:p>
          <w:p>
            <w:pPr>
              <w:spacing w:after="0"/>
            </w:pPr>
            <w:r>
              <w:rPr>
                <w:rFonts w:ascii="Nunito Sans" w:cs="Nunito Sans" w:eastAsia="Nunito Sans" w:hAnsi="Nunito Sans"/>
                <w:color w:val="000000"/>
                <w:sz w:val="18"/>
                <w:szCs w:val="18"/>
              </w:rPr>
              <w:t xml:space="preserve">Monthly Financial Summary</w:t>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8. Reports will be customized to EMH requests, including tracking and reporting service level metrics</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Yes. Reporting templates and content established collaboratively at onboarding and adjusted as needs evolve. Service level metrics incorporated into quarterly governance reporting.</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9. Broker meets committed governance cadence (e.g., quarterly strategic reviews; weekly during renewal).</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Yes. Quarterly strategic reviews are standard, with weekly touchpoints during renewal, and we adjust the cadence to EMH's preference.</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9360"/>
            <w:gridSpan w:val="3"/>
            <w:tcBorders>
              <w:top w:val="single" w:color="D6D8D8" w:sz="1"/>
              <w:left w:val="single" w:color="D6D8D8" w:sz="1"/>
              <w:bottom w:val="single" w:color="D6D8D8" w:sz="1"/>
              <w:right w:val="single" w:color="D6D8D8" w:sz="1"/>
            </w:tcBorders>
            <w:shd w:fill="D6D8D8" w:val="clear"/>
            <w:tcMar>
              <w:top w:type="dxa" w:w="120"/>
              <w:left w:type="dxa" w:w="160"/>
              <w:bottom w:type="dxa" w:w="120"/>
              <w:right w:type="dxa" w:w="160"/>
            </w:tcMar>
          </w:tcPr>
          <w:p>
            <w:r>
              <w:rPr>
                <w:rFonts w:ascii="Nunito Sans" w:cs="Nunito Sans" w:eastAsia="Nunito Sans" w:hAnsi="Nunito Sans"/>
                <w:b/>
                <w:bCs/>
                <w:color w:val="004990"/>
                <w:sz w:val="22"/>
                <w:szCs w:val="22"/>
              </w:rPr>
              <w:t xml:space="preserve">B.  CONTRACTING</w:t>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1. Confirmation that you will incorporate SLA terms herein into any forthcoming Agreement</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Yes. Bim Group agrees to incorporate the SLA terms herein into any forthcoming consulting agreement with EMH.</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2. Confirmation acceptance of termination provision for EMH, i.e., our right to terminate a service contract with you, for no fault, with a minimum of 90 days’ notice.</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Yes. Bim Group agrees to EMH's right to terminate the service contract for no fault with a minimum of 90 days' written notice.</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3. Confirmation to include in any Agreement or separate attestation of no other compensation and disclosure of conflicts of interest</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Yes. Bim Group will provide a written attestation in the agreement (or as a separate document) confirming we will accept no other direct or contingent commissions, override arrangements, or other compensation from any carrier, TPA, or vendor in connection with EMH's account, except as explicitly disclosed in the executed agreement. We have no conflicts of interest to disclose.</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r>
        <w:tc>
          <w:tcPr>
            <w:tcW w:type="dxa" w:w="23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color w:val="000000"/>
                <w:sz w:val="22"/>
                <w:szCs w:val="22"/>
              </w:rPr>
              <w:t xml:space="preserve">4. Designated account lead maintains continuity. Changes require advance notice and client approval of replacement.</w:t>
            </w:r>
          </w:p>
        </w:tc>
        <w:tc>
          <w:tcPr>
            <w:tcW w:type="dxa" w:w="540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pPr>
              <w:spacing w:after="0"/>
            </w:pPr>
            <w:r>
              <w:rPr>
                <w:rFonts w:ascii="Nunito Sans" w:cs="Nunito Sans" w:eastAsia="Nunito Sans" w:hAnsi="Nunito Sans"/>
                <w:color w:val="000000"/>
                <w:sz w:val="22"/>
                <w:szCs w:val="22"/>
              </w:rPr>
              <w:t xml:space="preserve">Yes. A designated account lead maintains continuity. Any personnel change affecting EMH's primary service team requires advance notice and EMH's approval of the replacement.</w:t>
            </w:r>
          </w:p>
        </w:tc>
        <w:tc>
          <w:tcPr>
            <w:tcW w:type="dxa" w:w="1660"/>
            <w:tcBorders>
              <w:top w:val="single" w:color="D6D8D8" w:sz="1"/>
              <w:left w:val="single" w:color="D6D8D8" w:sz="1"/>
              <w:bottom w:val="single" w:color="D6D8D8" w:sz="1"/>
              <w:right w:val="single" w:color="D6D8D8" w:sz="1"/>
            </w:tcBorders>
            <w:shd w:fill="FFFFFF" w:val="clear"/>
            <w:tcMar>
              <w:top w:type="dxa" w:w="120"/>
              <w:left w:type="dxa" w:w="120"/>
              <w:bottom w:type="dxa" w:w="120"/>
              <w:right w:type="dxa" w:w="120"/>
            </w:tcMar>
          </w:tcPr>
          <w:p>
            <w:r>
              <w:rPr>
                <w:rFonts w:ascii="Nunito Sans" w:cs="Nunito Sans" w:eastAsia="Nunito Sans" w:hAnsi="Nunito Sans"/>
              </w:rPr>
              <w:t xml:space="preserve"/>
            </w:r>
          </w:p>
        </w:tc>
      </w:tr>
    </w:tbl>
    <w:sectPr>
      <w:headerReference w:type="default" r:id="rId11"/>
      <w:footerReference w:type="default" r:id="rId12"/>
      <w:type w:val="nextPage"/>
      <w:pgSz w:w="12240" w:h="15840" w:orient="portrait"/>
      <w:pgMar w:top="1260" w:right="1260" w:bottom="126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00"/>
    </w:pPr>
    <w:r>
      <w:rPr>
        <w:rFonts w:ascii="Nunito Sans" w:cs="Nunito Sans" w:eastAsia="Nunito Sans" w:hAnsi="Nunito Sans"/>
        <w:color w:val="666666"/>
        <w:sz w:val="18"/>
        <w:szCs w:val="18"/>
      </w:rPr>
      <w:t xml:space="preserve">Good decisions start here.  |  Page </w:t>
    </w:r>
    <w:r>
      <w:rPr>
        <w:rFonts w:ascii="Nunito Sans" w:cs="Nunito Sans" w:eastAsia="Nunito Sans" w:hAnsi="Nunito Sans"/>
        <w:color w:val="666666"/>
        <w:sz w:val="18"/>
        <w:szCs w:val="18"/>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00"/>
    </w:pPr>
    <w:r>
      <w:rPr>
        <w:rFonts w:ascii="Nunito Sans" w:cs="Nunito Sans" w:eastAsia="Nunito Sans" w:hAnsi="Nunito Sans"/>
        <w:color w:val="666666"/>
        <w:sz w:val="18"/>
        <w:szCs w:val="18"/>
      </w:rPr>
      <w:t xml:space="preserve">Good decisions start here.  |  Page </w:t>
    </w:r>
    <w:r>
      <w:rPr>
        <w:rFonts w:ascii="Nunito Sans" w:cs="Nunito Sans" w:eastAsia="Nunito Sans" w:hAnsi="Nunito Sans"/>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4990" w:sz="6" w:space="8"/>
      </w:pBdr>
    </w:pPr>
    <w:r>
      <w:rPr>
        <w:rFonts w:ascii="Nunito Sans" w:cs="Nunito Sans" w:eastAsia="Nunito Sans" w:hAnsi="Nunito Sans"/>
        <w:b/>
        <w:bCs/>
        <w:color w:val="004990"/>
        <w:sz w:val="18"/>
        <w:szCs w:val="18"/>
      </w:rPr>
      <w:t xml:space="preserve">Bim Group | EMH CMA Response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4990" w:sz="6" w:space="8"/>
      </w:pBdr>
    </w:pPr>
    <w:r>
      <w:rPr>
        <w:rFonts w:ascii="Nunito Sans" w:cs="Nunito Sans" w:eastAsia="Nunito Sans" w:hAnsi="Nunito Sans"/>
        <w:b/>
        <w:bCs/>
        <w:color w:val="004990"/>
        <w:sz w:val="18"/>
        <w:szCs w:val="18"/>
      </w:rPr>
      <w:t xml:space="preserve">Bim Group | EMH CMA Response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unito Sans" w:cs="Nunito Sans" w:eastAsia="Nunito Sans" w:hAnsi="Nunito Sans"/>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outlineLvl w:val="0"/>
    </w:pPr>
    <w:rPr>
      <w:rFonts w:ascii="Nunito Sans" w:cs="Nunito Sans" w:eastAsia="Nunito Sans" w:hAnsi="Nunito Sans"/>
      <w:b/>
      <w:bCs/>
      <w:color w:val="004990"/>
      <w:sz w:val="52"/>
      <w:szCs w:val="52"/>
    </w:rPr>
  </w:style>
  <w:style w:type="paragraph" w:styleId="Heading2">
    <w:name w:val="Heading 2"/>
    <w:basedOn w:val="Normal"/>
    <w:next w:val="Normal"/>
    <w:qFormat/>
    <w:pPr>
      <w:spacing w:after="120" w:before="340"/>
      <w:outlineLvl w:val="1"/>
    </w:pPr>
    <w:rPr>
      <w:rFonts w:ascii="Nunito Sans" w:cs="Nunito Sans" w:eastAsia="Nunito Sans" w:hAnsi="Nunito Sans"/>
      <w:b/>
      <w:bCs/>
      <w:color w:val="004990"/>
      <w:sz w:val="28"/>
      <w:szCs w:val="28"/>
    </w:rPr>
  </w:style>
  <w:style w:type="paragraph" w:styleId="Heading3">
    <w:name w:val="Heading 3"/>
    <w:basedOn w:val="Normal"/>
    <w:next w:val="Normal"/>
    <w:qFormat/>
    <w:pPr>
      <w:spacing w:after="80" w:before="240"/>
      <w:outlineLvl w:val="2"/>
    </w:pPr>
    <w:rPr>
      <w:rFonts w:ascii="Nunito Sans" w:cs="Nunito Sans" w:eastAsia="Nunito Sans" w:hAnsi="Nunito Sans"/>
      <w:b/>
      <w:bCs/>
      <w:color w:val="00499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ac4848491bc2b597147ae9447fcf21852d23a146.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2026-06-08T15:43:39.614Z</dcterms:created>
  <dcterms:modified xsi:type="dcterms:W3CDTF">2026-06-08T15:43:39.614Z</dcterms:modified>
</cp:coreProperties>
</file>

<file path=docProps/custom.xml><?xml version="1.0" encoding="utf-8"?>
<Properties xmlns="http://schemas.openxmlformats.org/officeDocument/2006/custom-properties" xmlns:vt="http://schemas.openxmlformats.org/officeDocument/2006/docPropsVTypes"/>
</file>