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874D2" w14:textId="67E13F63" w:rsidR="003A7717" w:rsidRPr="00B32907" w:rsidRDefault="007F55CC" w:rsidP="00782F8A">
      <w:pPr>
        <w:jc w:val="center"/>
        <w:rPr>
          <w:rFonts w:ascii="Arial" w:hAnsi="Arial" w:cs="Arial"/>
          <w:sz w:val="32"/>
          <w:szCs w:val="32"/>
        </w:rPr>
      </w:pPr>
      <w:r w:rsidRPr="007F55CC">
        <w:rPr>
          <w:rFonts w:ascii="Arial" w:hAnsi="Arial" w:cs="Arial"/>
          <w:b/>
          <w:bCs/>
          <w:noProof/>
          <w:sz w:val="20"/>
          <w:szCs w:val="32"/>
          <w:lang w:eastAsia="zh-CN"/>
        </w:rPr>
        <mc:AlternateContent>
          <mc:Choice Requires="wps">
            <w:drawing>
              <wp:anchor distT="0" distB="0" distL="114300" distR="114300" simplePos="0" relativeHeight="251661312" behindDoc="0" locked="0" layoutInCell="0" allowOverlap="1" wp14:anchorId="4749B665" wp14:editId="26D5F7A6">
                <wp:simplePos x="0" y="0"/>
                <wp:positionH relativeFrom="column">
                  <wp:posOffset>3371850</wp:posOffset>
                </wp:positionH>
                <wp:positionV relativeFrom="page">
                  <wp:posOffset>492760</wp:posOffset>
                </wp:positionV>
                <wp:extent cx="3081528" cy="850392"/>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528" cy="850392"/>
                        </a:xfrm>
                        <a:prstGeom prst="rect">
                          <a:avLst/>
                        </a:prstGeom>
                        <a:noFill/>
                        <a:ln w="9525">
                          <a:noFill/>
                          <a:miter lim="800000"/>
                          <a:headEnd/>
                          <a:tailEnd/>
                        </a:ln>
                      </wps:spPr>
                      <wps:txbx>
                        <w:txbxContent>
                          <w:p w14:paraId="37DD44E4" w14:textId="67AEDA0A" w:rsidR="007F55CC" w:rsidRPr="000A1824" w:rsidRDefault="005C433C" w:rsidP="000A1824">
                            <w:pPr>
                              <w:jc w:val="center"/>
                              <w:rPr>
                                <w:b/>
                                <w:color w:val="9F0000"/>
                              </w:rPr>
                            </w:pPr>
                            <w:r>
                              <w:rPr>
                                <w:b/>
                                <w:noProof/>
                                <w:color w:val="9F0000"/>
                              </w:rPr>
                              <w:drawing>
                                <wp:inline distT="0" distB="0" distL="0" distR="0" wp14:anchorId="39EF8FBE" wp14:editId="4B72CF84">
                                  <wp:extent cx="2514600" cy="512064"/>
                                  <wp:effectExtent l="0" t="0" r="0" b="254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14600" cy="5120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9B665" id="_x0000_t202" coordsize="21600,21600" o:spt="202" path="m,l,21600r21600,l21600,xe">
                <v:stroke joinstyle="miter"/>
                <v:path gradientshapeok="t" o:connecttype="rect"/>
              </v:shapetype>
              <v:shape id="Text Box 2" o:spid="_x0000_s1026" type="#_x0000_t202" style="position:absolute;left:0;text-align:left;margin-left:265.5pt;margin-top:38.8pt;width:242.65pt;height:6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tPCgIAAPMDAAAOAAAAZHJzL2Uyb0RvYy54bWysU9tu2zAMfR+wfxD0vthJky0x4hRduw4D&#10;ugvQ7gMYWY6FSaImKbGzrx8lp2mwvQ3TgyCJ5CHPIbW+HoxmB+mDQlvz6aTkTFqBjbK7mn9/un+z&#10;5CxEsA1otLLmRxn49eb1q3XvKjnDDnUjPSMQG6re1byL0VVFEUQnDYQJOmnJ2KI3EOnqd0XjoSd0&#10;o4tZWb4tevSN8yhkCPR6Nxr5JuO3rRTxa9sGGZmuOdUW8+7zvk17sVlDtfPgOiVOZcA/VGFAWUp6&#10;hrqDCGzv1V9QRgmPAds4EWgKbFslZOZAbKblH2weO3AycyFxgjvLFP4frPhy+OaZaqh3K84sGOrR&#10;kxwie48DmyV5ehcq8np05BcHeibXTDW4BxQ/ArN424HdyRvvse8kNFTeNEUWF6EjTkgg2/4zNpQG&#10;9hEz0NB6k7QjNRihU5uO59akUgQ9XpXL6WJGwyTItlyUV6tcXAHVc7TzIX6UaFg61NxT6zM6HB5C&#10;TNVA9eySklm8V1rn9mvL+pqvFrNFDriwGBVpOrUylLNMa5yXRPKDbXJwBKXHMyXQ9sQ6ER0px2E7&#10;kGOSYovNkfh7HKeQfg0dOvS/OOtpAmsefu7BS870J0sarqbzeRrZfJkv3s3o4i8t20sLWEFQNY+c&#10;jcfbmMd85HpDWrcqy/BSyalWmqyszukXpNG9vGevl7+6+Q0AAP//AwBQSwMEFAAGAAgAAAAhAEle&#10;WcrfAAAACwEAAA8AAABkcnMvZG93bnJldi54bWxMj81OwzAQhO9IvIO1SNyo7ZakELKpEIgriPIj&#10;cXPjbRIRr6PYbcLb457gOJrRzDflZna9ONIYOs8IeqFAENfedtwgvL89Xd2ACNGwNb1nQvihAJvq&#10;/Kw0hfUTv9JxGxuRSjgUBqGNcSikDHVLzoSFH4iTt/ejMzHJsZF2NFMqd71cKpVLZzpOC60Z6KGl&#10;+nt7cAgfz/uvz2v10jy6bJj8rCS7W4l4eTHf34GINMe/MJzwEzpUiWnnD2yD6BGylU5fIsJ6nYM4&#10;BZTOVyB2CEutM5BVKf9/qH4BAAD//wMAUEsBAi0AFAAGAAgAAAAhALaDOJL+AAAA4QEAABMAAAAA&#10;AAAAAAAAAAAAAAAAAFtDb250ZW50X1R5cGVzXS54bWxQSwECLQAUAAYACAAAACEAOP0h/9YAAACU&#10;AQAACwAAAAAAAAAAAAAAAAAvAQAAX3JlbHMvLnJlbHNQSwECLQAUAAYACAAAACEAAguLTwoCAADz&#10;AwAADgAAAAAAAAAAAAAAAAAuAgAAZHJzL2Uyb0RvYy54bWxQSwECLQAUAAYACAAAACEASV5Zyt8A&#10;AAALAQAADwAAAAAAAAAAAAAAAABkBAAAZHJzL2Rvd25yZXYueG1sUEsFBgAAAAAEAAQA8wAAAHAF&#10;AAAAAA==&#10;" o:allowincell="f" filled="f" stroked="f">
                <v:textbox>
                  <w:txbxContent>
                    <w:p w14:paraId="37DD44E4" w14:textId="67AEDA0A" w:rsidR="007F55CC" w:rsidRPr="000A1824" w:rsidRDefault="005C433C" w:rsidP="000A1824">
                      <w:pPr>
                        <w:jc w:val="center"/>
                        <w:rPr>
                          <w:b/>
                          <w:color w:val="9F0000"/>
                        </w:rPr>
                      </w:pPr>
                      <w:r>
                        <w:rPr>
                          <w:b/>
                          <w:noProof/>
                          <w:color w:val="9F0000"/>
                        </w:rPr>
                        <w:drawing>
                          <wp:inline distT="0" distB="0" distL="0" distR="0" wp14:anchorId="39EF8FBE" wp14:editId="4B72CF84">
                            <wp:extent cx="2514600" cy="512064"/>
                            <wp:effectExtent l="0" t="0" r="0" b="254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14600" cy="512064"/>
                                    </a:xfrm>
                                    <a:prstGeom prst="rect">
                                      <a:avLst/>
                                    </a:prstGeom>
                                  </pic:spPr>
                                </pic:pic>
                              </a:graphicData>
                            </a:graphic>
                          </wp:inline>
                        </w:drawing>
                      </w:r>
                    </w:p>
                  </w:txbxContent>
                </v:textbox>
                <w10:wrap type="square" anchory="page"/>
              </v:shape>
            </w:pict>
          </mc:Fallback>
        </mc:AlternateContent>
      </w:r>
      <w:r w:rsidR="00F102D9" w:rsidRPr="00F102D9">
        <w:rPr>
          <w:rFonts w:ascii="Arial" w:hAnsi="Arial" w:cs="Arial"/>
          <w:noProof/>
          <w:sz w:val="32"/>
          <w:szCs w:val="32"/>
        </w:rPr>
        <w:drawing>
          <wp:anchor distT="0" distB="0" distL="114300" distR="114300" simplePos="0" relativeHeight="251659264" behindDoc="0" locked="0" layoutInCell="1" allowOverlap="1" wp14:anchorId="458D4BA1" wp14:editId="589B283E">
            <wp:simplePos x="0" y="0"/>
            <wp:positionH relativeFrom="page">
              <wp:align>center</wp:align>
            </wp:positionH>
            <wp:positionV relativeFrom="page">
              <wp:posOffset>1371600</wp:posOffset>
            </wp:positionV>
            <wp:extent cx="5959017" cy="1865376"/>
            <wp:effectExtent l="0" t="0" r="381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A_Mastheads_WordIntro_ACAAdvis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9017" cy="1865376"/>
                    </a:xfrm>
                    <a:prstGeom prst="rect">
                      <a:avLst/>
                    </a:prstGeom>
                  </pic:spPr>
                </pic:pic>
              </a:graphicData>
            </a:graphic>
            <wp14:sizeRelH relativeFrom="page">
              <wp14:pctWidth>0</wp14:pctWidth>
            </wp14:sizeRelH>
            <wp14:sizeRelV relativeFrom="page">
              <wp14:pctHeight>0</wp14:pctHeight>
            </wp14:sizeRelV>
          </wp:anchor>
        </w:drawing>
      </w:r>
      <w:r w:rsidR="00782F8A" w:rsidRPr="00B32907">
        <w:rPr>
          <w:rFonts w:ascii="Arial" w:hAnsi="Arial" w:cs="Arial"/>
          <w:sz w:val="32"/>
          <w:szCs w:val="32"/>
        </w:rPr>
        <w:t>IRS Notice 2020-76</w:t>
      </w:r>
    </w:p>
    <w:p w14:paraId="439A51FE" w14:textId="52E8AF3B" w:rsidR="00782F8A" w:rsidRPr="004D79A6" w:rsidRDefault="00782F8A" w:rsidP="004D79A6">
      <w:pPr>
        <w:spacing w:after="200" w:line="276" w:lineRule="auto"/>
        <w:rPr>
          <w:rFonts w:ascii="Arial" w:hAnsi="Arial" w:cs="Arial"/>
        </w:rPr>
      </w:pPr>
      <w:r w:rsidRPr="004D79A6">
        <w:rPr>
          <w:rFonts w:ascii="Arial" w:hAnsi="Arial" w:cs="Arial"/>
        </w:rPr>
        <w:t>As the deadline for reporting of group health coverage offered in 2020 under the Patient Protection and Affordable Care</w:t>
      </w:r>
      <w:r w:rsidR="0035555B">
        <w:rPr>
          <w:rFonts w:ascii="Arial" w:hAnsi="Arial" w:cs="Arial"/>
        </w:rPr>
        <w:t xml:space="preserve"> Act </w:t>
      </w:r>
      <w:r w:rsidRPr="004D79A6">
        <w:rPr>
          <w:rFonts w:ascii="Arial" w:hAnsi="Arial" w:cs="Arial"/>
        </w:rPr>
        <w:t xml:space="preserve">(ACA) approaches, the Internal Revenue Services (IRS) has issued </w:t>
      </w:r>
      <w:hyperlink r:id="rId12" w:history="1">
        <w:r w:rsidRPr="007F55CC">
          <w:rPr>
            <w:rStyle w:val="Hyperlink"/>
          </w:rPr>
          <w:t>IRS Notice 2020-76</w:t>
        </w:r>
      </w:hyperlink>
      <w:r w:rsidRPr="004D79A6">
        <w:rPr>
          <w:rFonts w:ascii="Arial" w:hAnsi="Arial" w:cs="Arial"/>
        </w:rPr>
        <w:t xml:space="preserve"> (Notice) regarding deadline extensions and requirements as it has done in prior years.</w:t>
      </w:r>
    </w:p>
    <w:p w14:paraId="508B918B" w14:textId="77777777" w:rsidR="0047604B" w:rsidRPr="004D79A6" w:rsidRDefault="0047604B" w:rsidP="004D79A6">
      <w:pPr>
        <w:spacing w:after="200" w:line="276" w:lineRule="auto"/>
        <w:rPr>
          <w:rFonts w:ascii="Arial" w:hAnsi="Arial" w:cs="Arial"/>
        </w:rPr>
      </w:pPr>
      <w:r w:rsidRPr="004D79A6">
        <w:rPr>
          <w:rFonts w:ascii="Arial" w:hAnsi="Arial" w:cs="Arial"/>
        </w:rPr>
        <w:t>In past years, the IRS provided relief to employers who made a good faith effort to comply with the information reporting requirements and determined that they would not be subject to penalties for failure to correctly or completely file. This did not apply to employers that failed to timely file or furnish a statement.</w:t>
      </w:r>
    </w:p>
    <w:p w14:paraId="7AC2BD5F" w14:textId="09C525CC" w:rsidR="0047604B" w:rsidRPr="004D79A6" w:rsidRDefault="007751EA" w:rsidP="004D79A6">
      <w:pPr>
        <w:spacing w:after="200" w:line="276" w:lineRule="auto"/>
        <w:rPr>
          <w:rFonts w:ascii="Arial" w:hAnsi="Arial" w:cs="Arial"/>
        </w:rPr>
      </w:pPr>
      <w:r w:rsidRPr="004D79A6">
        <w:rPr>
          <w:rFonts w:ascii="Arial" w:hAnsi="Arial" w:cs="Arial"/>
        </w:rPr>
        <w:t xml:space="preserve">Under </w:t>
      </w:r>
      <w:r w:rsidR="0047604B" w:rsidRPr="004D79A6">
        <w:rPr>
          <w:rFonts w:ascii="Arial" w:hAnsi="Arial" w:cs="Arial"/>
        </w:rPr>
        <w:t xml:space="preserve">the </w:t>
      </w:r>
      <w:r w:rsidRPr="004D79A6">
        <w:rPr>
          <w:rFonts w:ascii="Arial" w:hAnsi="Arial" w:cs="Arial"/>
        </w:rPr>
        <w:t>Notice,</w:t>
      </w:r>
      <w:r w:rsidR="0047604B" w:rsidRPr="004D79A6">
        <w:rPr>
          <w:rFonts w:ascii="Arial" w:hAnsi="Arial" w:cs="Arial"/>
        </w:rPr>
        <w:t xml:space="preserve"> </w:t>
      </w:r>
      <w:r w:rsidR="009B1BE0" w:rsidRPr="004D79A6">
        <w:rPr>
          <w:rFonts w:ascii="Arial" w:hAnsi="Arial" w:cs="Arial"/>
        </w:rPr>
        <w:t xml:space="preserve">this </w:t>
      </w:r>
      <w:r w:rsidR="0047604B" w:rsidRPr="004D79A6">
        <w:rPr>
          <w:rFonts w:ascii="Arial" w:hAnsi="Arial" w:cs="Arial"/>
        </w:rPr>
        <w:t xml:space="preserve">relief </w:t>
      </w:r>
      <w:r w:rsidR="009B1BE0" w:rsidRPr="004D79A6">
        <w:rPr>
          <w:rFonts w:ascii="Arial" w:hAnsi="Arial" w:cs="Arial"/>
        </w:rPr>
        <w:t>has been extended for</w:t>
      </w:r>
      <w:r w:rsidR="0047604B" w:rsidRPr="004D79A6">
        <w:rPr>
          <w:rFonts w:ascii="Arial" w:hAnsi="Arial" w:cs="Arial"/>
        </w:rPr>
        <w:t xml:space="preserve"> </w:t>
      </w:r>
      <w:r w:rsidR="00B236EE" w:rsidRPr="004D79A6">
        <w:rPr>
          <w:rFonts w:ascii="Arial" w:hAnsi="Arial" w:cs="Arial"/>
        </w:rPr>
        <w:t xml:space="preserve">group health coverage offered in </w:t>
      </w:r>
      <w:r w:rsidR="0047604B" w:rsidRPr="004D79A6">
        <w:rPr>
          <w:rFonts w:ascii="Arial" w:hAnsi="Arial" w:cs="Arial"/>
        </w:rPr>
        <w:t>20</w:t>
      </w:r>
      <w:r w:rsidR="009B1BE0" w:rsidRPr="004D79A6">
        <w:rPr>
          <w:rFonts w:ascii="Arial" w:hAnsi="Arial" w:cs="Arial"/>
        </w:rPr>
        <w:t>20</w:t>
      </w:r>
      <w:r w:rsidR="0047604B" w:rsidRPr="004D79A6">
        <w:rPr>
          <w:rFonts w:ascii="Arial" w:hAnsi="Arial" w:cs="Arial"/>
        </w:rPr>
        <w:t>. As in prior years, the relief is applied only to incorrect or incomplete information reported on the statement or return in good faith. The relief does not apply to a failure to timely furnish or file a statement or return</w:t>
      </w:r>
      <w:r w:rsidR="00FD3ABC" w:rsidRPr="004D79A6">
        <w:rPr>
          <w:rFonts w:ascii="Arial" w:hAnsi="Arial" w:cs="Arial"/>
        </w:rPr>
        <w:t>.</w:t>
      </w:r>
      <w:r w:rsidR="007F3E0C" w:rsidRPr="004D79A6">
        <w:rPr>
          <w:rFonts w:ascii="Arial" w:hAnsi="Arial" w:cs="Arial"/>
        </w:rPr>
        <w:t xml:space="preserve"> The Notice provides that this is the final year the Treasury Department and the IRS intend to provide this relief.</w:t>
      </w:r>
    </w:p>
    <w:p w14:paraId="27CD01C2" w14:textId="4273B215" w:rsidR="00782F8A" w:rsidRPr="004D79A6" w:rsidRDefault="00782F8A" w:rsidP="004D79A6">
      <w:pPr>
        <w:spacing w:after="200" w:line="276" w:lineRule="auto"/>
        <w:rPr>
          <w:rFonts w:ascii="Arial" w:hAnsi="Arial" w:cs="Arial"/>
        </w:rPr>
      </w:pPr>
      <w:r w:rsidRPr="004D79A6">
        <w:rPr>
          <w:rFonts w:ascii="Arial" w:hAnsi="Arial" w:cs="Arial"/>
        </w:rPr>
        <w:t>Because the individual shared responsibility payment has been reduced to $0 as of January 1, 2019, the Notice provides that the IRS will not assess a penalty for failing to furnish Form 1095-B to individuals if two conditions are met:</w:t>
      </w:r>
    </w:p>
    <w:p w14:paraId="7EC92D10" w14:textId="77777777" w:rsidR="00782F8A" w:rsidRPr="004D79A6" w:rsidRDefault="00782F8A" w:rsidP="004D79A6">
      <w:pPr>
        <w:numPr>
          <w:ilvl w:val="0"/>
          <w:numId w:val="1"/>
        </w:numPr>
        <w:spacing w:after="200" w:line="276" w:lineRule="auto"/>
        <w:rPr>
          <w:rFonts w:ascii="Arial" w:hAnsi="Arial" w:cs="Arial"/>
        </w:rPr>
      </w:pPr>
      <w:r w:rsidRPr="004D79A6">
        <w:rPr>
          <w:rFonts w:ascii="Arial" w:hAnsi="Arial" w:cs="Arial"/>
        </w:rPr>
        <w:t>The reporting entity posts a notice prominently on its website stating that individuals may receive a copy of their 2020 Form 1095-B upon request, accompanied by an email address and a physical address to which a request may be sent, and a telephone number that individuals can use to contact the reporting entity with any questions.</w:t>
      </w:r>
    </w:p>
    <w:p w14:paraId="06D2CADB" w14:textId="77777777" w:rsidR="00782F8A" w:rsidRPr="004D79A6" w:rsidRDefault="00782F8A" w:rsidP="004D79A6">
      <w:pPr>
        <w:numPr>
          <w:ilvl w:val="0"/>
          <w:numId w:val="1"/>
        </w:numPr>
        <w:spacing w:after="200" w:line="276" w:lineRule="auto"/>
        <w:rPr>
          <w:rFonts w:ascii="Arial" w:hAnsi="Arial" w:cs="Arial"/>
        </w:rPr>
      </w:pPr>
      <w:r w:rsidRPr="004D79A6">
        <w:rPr>
          <w:rFonts w:ascii="Arial" w:hAnsi="Arial" w:cs="Arial"/>
        </w:rPr>
        <w:t>The reporting entity furnishes a 2020 Form 1095-B within 30 days of the date the request is received.</w:t>
      </w:r>
    </w:p>
    <w:p w14:paraId="5FBCF9C4" w14:textId="1F346B17" w:rsidR="00782F8A" w:rsidRPr="004D79A6" w:rsidRDefault="00782F8A" w:rsidP="004D79A6">
      <w:pPr>
        <w:spacing w:after="200" w:line="276" w:lineRule="auto"/>
        <w:rPr>
          <w:rFonts w:ascii="Arial" w:hAnsi="Arial" w:cs="Arial"/>
        </w:rPr>
      </w:pPr>
      <w:r w:rsidRPr="004D79A6">
        <w:rPr>
          <w:rFonts w:ascii="Arial" w:hAnsi="Arial" w:cs="Arial"/>
        </w:rPr>
        <w:t>This relief also applies to reporting entities that are required to furnish Form 1095-C to any employee enrolled in the reporting entity’s self-funded health plan who is not a full-time employee for any month of 2020.</w:t>
      </w:r>
    </w:p>
    <w:p w14:paraId="5DF473D9" w14:textId="77777777" w:rsidR="007F55CC" w:rsidRDefault="007F55CC" w:rsidP="004D79A6">
      <w:pPr>
        <w:spacing w:after="200" w:line="276" w:lineRule="auto"/>
        <w:rPr>
          <w:rFonts w:ascii="Arial" w:hAnsi="Arial" w:cs="Arial"/>
        </w:rPr>
        <w:sectPr w:rsidR="007F55CC" w:rsidSect="00235DE4">
          <w:footerReference w:type="default" r:id="rId13"/>
          <w:pgSz w:w="12240" w:h="15840"/>
          <w:pgMar w:top="5472" w:right="1440" w:bottom="1080" w:left="1440" w:header="720" w:footer="720" w:gutter="0"/>
          <w:cols w:space="720"/>
          <w:docGrid w:linePitch="360"/>
        </w:sectPr>
      </w:pPr>
    </w:p>
    <w:p w14:paraId="5A46C7B6" w14:textId="31672B4A" w:rsidR="00782F8A" w:rsidRPr="004D79A6" w:rsidRDefault="00782F8A" w:rsidP="004D79A6">
      <w:pPr>
        <w:spacing w:after="200" w:line="276" w:lineRule="auto"/>
        <w:rPr>
          <w:rFonts w:ascii="Arial" w:hAnsi="Arial" w:cs="Arial"/>
        </w:rPr>
      </w:pPr>
      <w:r w:rsidRPr="004D79A6">
        <w:rPr>
          <w:rFonts w:ascii="Arial" w:hAnsi="Arial" w:cs="Arial"/>
        </w:rPr>
        <w:lastRenderedPageBreak/>
        <w:t xml:space="preserve">Under </w:t>
      </w:r>
      <w:r w:rsidR="00E25E5D" w:rsidRPr="004D79A6">
        <w:rPr>
          <w:rFonts w:ascii="Arial" w:hAnsi="Arial" w:cs="Arial"/>
        </w:rPr>
        <w:t xml:space="preserve">the </w:t>
      </w:r>
      <w:r w:rsidRPr="004D79A6">
        <w:rPr>
          <w:rFonts w:ascii="Arial" w:hAnsi="Arial" w:cs="Arial"/>
        </w:rPr>
        <w:t>Notice, the IRS extended the due date for furnishing statements to individuals</w:t>
      </w:r>
      <w:r w:rsidR="003027E8" w:rsidRPr="004D79A6">
        <w:rPr>
          <w:rFonts w:ascii="Arial" w:hAnsi="Arial" w:cs="Arial"/>
        </w:rPr>
        <w:t xml:space="preserve"> (</w:t>
      </w:r>
      <w:r w:rsidR="00D053F0" w:rsidRPr="004D79A6">
        <w:rPr>
          <w:rFonts w:ascii="Arial" w:hAnsi="Arial" w:cs="Arial"/>
        </w:rPr>
        <w:t>Form</w:t>
      </w:r>
      <w:r w:rsidR="00064B20" w:rsidRPr="004D79A6">
        <w:rPr>
          <w:rFonts w:ascii="Arial" w:hAnsi="Arial" w:cs="Arial"/>
        </w:rPr>
        <w:t xml:space="preserve"> </w:t>
      </w:r>
      <w:r w:rsidR="003027E8" w:rsidRPr="004D79A6">
        <w:rPr>
          <w:rFonts w:ascii="Arial" w:hAnsi="Arial" w:cs="Arial"/>
        </w:rPr>
        <w:t>109</w:t>
      </w:r>
      <w:r w:rsidR="00E933E7" w:rsidRPr="004D79A6">
        <w:rPr>
          <w:rFonts w:ascii="Arial" w:hAnsi="Arial" w:cs="Arial"/>
        </w:rPr>
        <w:t>5-B and 1095-C)</w:t>
      </w:r>
      <w:r w:rsidRPr="004D79A6">
        <w:rPr>
          <w:rFonts w:ascii="Arial" w:hAnsi="Arial" w:cs="Arial"/>
        </w:rPr>
        <w:t xml:space="preserve"> from February 1, 2021 (the normal due is January 31, however in 2021, that date falls on a weekend), to March 2, 2021. The permissive 30-day extension that the IRS may grant to an employer for good cause will not apply to this extended due date for furnishing statements to individuals.</w:t>
      </w:r>
    </w:p>
    <w:p w14:paraId="37E6C04A" w14:textId="060BFBF8" w:rsidR="00624A77" w:rsidRPr="004D79A6" w:rsidRDefault="00624A77" w:rsidP="004D79A6">
      <w:pPr>
        <w:spacing w:after="200" w:line="276" w:lineRule="auto"/>
        <w:rPr>
          <w:rFonts w:ascii="Arial" w:hAnsi="Arial" w:cs="Arial"/>
        </w:rPr>
      </w:pPr>
      <w:r w:rsidRPr="004D79A6">
        <w:rPr>
          <w:rFonts w:ascii="Arial" w:hAnsi="Arial" w:cs="Arial"/>
        </w:rPr>
        <w:t xml:space="preserve">The </w:t>
      </w:r>
      <w:r w:rsidR="00DA6DC6" w:rsidRPr="004D79A6">
        <w:rPr>
          <w:rFonts w:ascii="Arial" w:hAnsi="Arial" w:cs="Arial"/>
        </w:rPr>
        <w:t>N</w:t>
      </w:r>
      <w:r w:rsidRPr="004D79A6">
        <w:rPr>
          <w:rFonts w:ascii="Arial" w:hAnsi="Arial" w:cs="Arial"/>
        </w:rPr>
        <w:t xml:space="preserve">otice does not extend the due date for filing Forms </w:t>
      </w:r>
      <w:r w:rsidR="00635613" w:rsidRPr="004D79A6">
        <w:rPr>
          <w:rFonts w:ascii="Arial" w:hAnsi="Arial" w:cs="Arial"/>
        </w:rPr>
        <w:t>1094-B, 1095-B</w:t>
      </w:r>
      <w:r w:rsidR="009014C3" w:rsidRPr="004D79A6">
        <w:rPr>
          <w:rFonts w:ascii="Arial" w:hAnsi="Arial" w:cs="Arial"/>
        </w:rPr>
        <w:t xml:space="preserve">, 1094-C, or 1095-C </w:t>
      </w:r>
      <w:r w:rsidR="00B46273" w:rsidRPr="004D79A6">
        <w:rPr>
          <w:rFonts w:ascii="Arial" w:hAnsi="Arial" w:cs="Arial"/>
        </w:rPr>
        <w:t xml:space="preserve">with the IRS </w:t>
      </w:r>
      <w:r w:rsidR="00B03442" w:rsidRPr="004D79A6">
        <w:rPr>
          <w:rFonts w:ascii="Arial" w:hAnsi="Arial" w:cs="Arial"/>
        </w:rPr>
        <w:t>f</w:t>
      </w:r>
      <w:r w:rsidRPr="004D79A6">
        <w:rPr>
          <w:rFonts w:ascii="Arial" w:hAnsi="Arial" w:cs="Arial"/>
        </w:rPr>
        <w:t>or calendar year 2020</w:t>
      </w:r>
      <w:r w:rsidR="00B46273" w:rsidRPr="004D79A6">
        <w:rPr>
          <w:rFonts w:ascii="Arial" w:hAnsi="Arial" w:cs="Arial"/>
        </w:rPr>
        <w:t>.</w:t>
      </w:r>
      <w:r w:rsidRPr="004D79A6">
        <w:rPr>
          <w:rFonts w:ascii="Arial" w:hAnsi="Arial" w:cs="Arial"/>
        </w:rPr>
        <w:t xml:space="preserve"> Forms 1094-</w:t>
      </w:r>
      <w:r w:rsidR="00B03442" w:rsidRPr="004D79A6">
        <w:rPr>
          <w:rFonts w:ascii="Arial" w:hAnsi="Arial" w:cs="Arial"/>
        </w:rPr>
        <w:t>B</w:t>
      </w:r>
      <w:r w:rsidRPr="004D79A6">
        <w:rPr>
          <w:rFonts w:ascii="Arial" w:hAnsi="Arial" w:cs="Arial"/>
        </w:rPr>
        <w:t>, 1095-</w:t>
      </w:r>
      <w:r w:rsidR="00B03442" w:rsidRPr="004D79A6">
        <w:rPr>
          <w:rFonts w:ascii="Arial" w:hAnsi="Arial" w:cs="Arial"/>
        </w:rPr>
        <w:t>B</w:t>
      </w:r>
      <w:r w:rsidRPr="004D79A6">
        <w:rPr>
          <w:rFonts w:ascii="Arial" w:hAnsi="Arial" w:cs="Arial"/>
        </w:rPr>
        <w:t>, 1094-B, and 1095-</w:t>
      </w:r>
      <w:r w:rsidR="00B03442" w:rsidRPr="004D79A6">
        <w:rPr>
          <w:rFonts w:ascii="Arial" w:hAnsi="Arial" w:cs="Arial"/>
        </w:rPr>
        <w:t>C</w:t>
      </w:r>
      <w:r w:rsidRPr="004D79A6">
        <w:rPr>
          <w:rFonts w:ascii="Arial" w:hAnsi="Arial" w:cs="Arial"/>
        </w:rPr>
        <w:t xml:space="preserve"> must be filed by February 28, 2021, or March 31, 2021, if filing electronically. Employers may file </w:t>
      </w:r>
      <w:hyperlink r:id="rId14" w:history="1">
        <w:r w:rsidRPr="004D79A6">
          <w:rPr>
            <w:rStyle w:val="Hyperlink"/>
          </w:rPr>
          <w:t>F</w:t>
        </w:r>
        <w:r w:rsidR="006F773D" w:rsidRPr="004D79A6">
          <w:rPr>
            <w:rStyle w:val="Hyperlink"/>
          </w:rPr>
          <w:t>o</w:t>
        </w:r>
        <w:r w:rsidRPr="004D79A6">
          <w:rPr>
            <w:rStyle w:val="Hyperlink"/>
          </w:rPr>
          <w:t>rm 8809</w:t>
        </w:r>
      </w:hyperlink>
      <w:r w:rsidRPr="004D79A6">
        <w:rPr>
          <w:rFonts w:ascii="Arial" w:hAnsi="Arial" w:cs="Arial"/>
        </w:rPr>
        <w:t xml:space="preserve"> to receive an automatic 30-day extension of this due date for forms due to the IRS.</w:t>
      </w:r>
    </w:p>
    <w:p w14:paraId="23A8E6C4" w14:textId="77777777" w:rsidR="007B66F7" w:rsidRPr="007B66F7" w:rsidRDefault="007B66F7" w:rsidP="007B66F7">
      <w:pPr>
        <w:spacing w:after="200" w:line="276" w:lineRule="auto"/>
        <w:rPr>
          <w:rFonts w:ascii="Arial" w:hAnsi="Arial" w:cs="Arial"/>
        </w:rPr>
      </w:pPr>
      <w:r w:rsidRPr="007B66F7">
        <w:rPr>
          <w:rFonts w:ascii="Arial" w:hAnsi="Arial" w:cs="Arial"/>
        </w:rPr>
        <w:t>The IRS notes that unless it receives comments as to why relief continues to be necessary, no relief for furnishing statements will be granted in future years.</w:t>
      </w:r>
    </w:p>
    <w:p w14:paraId="7FF12E13" w14:textId="77777777" w:rsidR="00624A77" w:rsidRPr="004D79A6" w:rsidRDefault="00624A77" w:rsidP="004D79A6">
      <w:pPr>
        <w:spacing w:after="200" w:line="276" w:lineRule="auto"/>
        <w:rPr>
          <w:rFonts w:ascii="Arial" w:hAnsi="Arial" w:cs="Arial"/>
        </w:rPr>
      </w:pPr>
    </w:p>
    <w:p w14:paraId="38FD147E" w14:textId="0138FB4A" w:rsidR="00782F8A" w:rsidRPr="004D79A6" w:rsidRDefault="00284BD4" w:rsidP="004D79A6">
      <w:pPr>
        <w:spacing w:after="200" w:line="276" w:lineRule="auto"/>
        <w:rPr>
          <w:rFonts w:ascii="Arial" w:hAnsi="Arial" w:cs="Arial"/>
        </w:rPr>
      </w:pPr>
      <w:r w:rsidRPr="004D79A6">
        <w:rPr>
          <w:rFonts w:ascii="Arial" w:hAnsi="Arial" w:cs="Arial"/>
        </w:rPr>
        <w:t>10/5/2020</w:t>
      </w:r>
    </w:p>
    <w:tbl>
      <w:tblPr>
        <w:tblStyle w:val="TableGrid"/>
        <w:tblpPr w:leftFromText="187" w:rightFromText="187" w:tblpXSpec="center" w:tblpYSpec="bottom"/>
        <w:tblOverlap w:val="never"/>
        <w:tblW w:w="0" w:type="auto"/>
        <w:tblBorders>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360"/>
      </w:tblGrid>
      <w:tr w:rsidR="007F55CC" w14:paraId="035B6682" w14:textId="77777777" w:rsidTr="00CD6E40">
        <w:tc>
          <w:tcPr>
            <w:tcW w:w="9576" w:type="dxa"/>
          </w:tcPr>
          <w:p w14:paraId="4E508DC4" w14:textId="77777777" w:rsidR="007F55CC" w:rsidRPr="00A238CB" w:rsidRDefault="007F55CC" w:rsidP="006B71A6">
            <w:pPr>
              <w:spacing w:line="240" w:lineRule="atLeast"/>
              <w:jc w:val="center"/>
              <w:rPr>
                <w:rFonts w:ascii="Arial" w:hAnsi="Arial" w:cs="Arial"/>
                <w:color w:val="000000" w:themeColor="text1"/>
                <w:sz w:val="16"/>
                <w:szCs w:val="16"/>
              </w:rPr>
            </w:pPr>
            <w:r w:rsidRPr="00A238CB">
              <w:rPr>
                <w:rFonts w:ascii="Arial" w:hAnsi="Arial" w:cs="Arial"/>
                <w:color w:val="000000" w:themeColor="text1"/>
                <w:sz w:val="16"/>
                <w:szCs w:val="16"/>
              </w:rPr>
              <w:t>This information is general and is provided for educational purposes only. It is not intended to provide legal advice.</w:t>
            </w:r>
            <w:r w:rsidRPr="00A238CB">
              <w:rPr>
                <w:rFonts w:ascii="Arial" w:hAnsi="Arial" w:cs="Arial"/>
                <w:color w:val="000000" w:themeColor="text1"/>
                <w:sz w:val="16"/>
                <w:szCs w:val="16"/>
              </w:rPr>
              <w:br/>
              <w:t>You should not act on this information without consulting legal counsel or other knowledgeable advisors.</w:t>
            </w:r>
          </w:p>
        </w:tc>
      </w:tr>
      <w:tr w:rsidR="007F55CC" w14:paraId="72AC8358" w14:textId="77777777" w:rsidTr="00CD6E40">
        <w:tc>
          <w:tcPr>
            <w:tcW w:w="9576" w:type="dxa"/>
          </w:tcPr>
          <w:p w14:paraId="64783595" w14:textId="77777777" w:rsidR="007F55CC" w:rsidRPr="00951629" w:rsidRDefault="007F55CC" w:rsidP="006B71A6">
            <w:pPr>
              <w:spacing w:line="240" w:lineRule="atLeast"/>
              <w:jc w:val="center"/>
              <w:rPr>
                <w:color w:val="000000" w:themeColor="text1"/>
                <w:sz w:val="16"/>
                <w:szCs w:val="16"/>
              </w:rPr>
            </w:pPr>
            <w:r>
              <w:rPr>
                <w:noProof/>
                <w:color w:val="000000" w:themeColor="text1"/>
                <w:sz w:val="16"/>
                <w:szCs w:val="16"/>
              </w:rPr>
              <w:drawing>
                <wp:inline distT="0" distB="0" distL="0" distR="0" wp14:anchorId="5F37CE96" wp14:editId="7AFD4800">
                  <wp:extent cx="3209926" cy="447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BA_PartnerStackedTagline_RGB.jpg"/>
                          <pic:cNvPicPr/>
                        </pic:nvPicPr>
                        <pic:blipFill>
                          <a:blip r:embed="rId15"/>
                          <a:stretch>
                            <a:fillRect/>
                          </a:stretch>
                        </pic:blipFill>
                        <pic:spPr>
                          <a:xfrm>
                            <a:off x="0" y="0"/>
                            <a:ext cx="3266378" cy="455376"/>
                          </a:xfrm>
                          <a:prstGeom prst="rect">
                            <a:avLst/>
                          </a:prstGeom>
                        </pic:spPr>
                      </pic:pic>
                    </a:graphicData>
                  </a:graphic>
                </wp:inline>
              </w:drawing>
            </w:r>
          </w:p>
        </w:tc>
      </w:tr>
    </w:tbl>
    <w:p w14:paraId="43BA8A12" w14:textId="77777777" w:rsidR="00782F8A" w:rsidRPr="004D79A6" w:rsidRDefault="00782F8A" w:rsidP="004D79A6">
      <w:pPr>
        <w:spacing w:after="200" w:line="276" w:lineRule="auto"/>
        <w:rPr>
          <w:rFonts w:ascii="Arial" w:hAnsi="Arial" w:cs="Arial"/>
        </w:rPr>
      </w:pPr>
    </w:p>
    <w:sectPr w:rsidR="00782F8A" w:rsidRPr="004D79A6" w:rsidSect="007F55CC">
      <w:headerReference w:type="default" r:id="rId16"/>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8963B" w14:textId="77777777" w:rsidR="00784032" w:rsidRDefault="00784032" w:rsidP="007F55CC">
      <w:pPr>
        <w:spacing w:after="0" w:line="240" w:lineRule="auto"/>
      </w:pPr>
      <w:r>
        <w:separator/>
      </w:r>
    </w:p>
  </w:endnote>
  <w:endnote w:type="continuationSeparator" w:id="0">
    <w:p w14:paraId="1C300D0A" w14:textId="77777777" w:rsidR="00784032" w:rsidRDefault="00784032" w:rsidP="007F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0254A" w14:textId="2A54216B" w:rsidR="007F55CC" w:rsidRDefault="007F55CC" w:rsidP="007F55CC">
    <w:pPr>
      <w:pStyle w:val="Footer"/>
      <w:tabs>
        <w:tab w:val="clear" w:pos="4680"/>
        <w:tab w:val="center" w:pos="4320"/>
      </w:tabs>
    </w:pPr>
    <w:r>
      <w:rPr>
        <w:rFonts w:ascii="Arial" w:hAnsi="Arial" w:cs="Arial"/>
        <w:sz w:val="18"/>
      </w:rPr>
      <w:tab/>
    </w:r>
    <w:r w:rsidRPr="00097113">
      <w:rPr>
        <w:rFonts w:ascii="Arial" w:hAnsi="Arial" w:cs="Arial"/>
        <w:sz w:val="18"/>
      </w:rPr>
      <w:fldChar w:fldCharType="begin"/>
    </w:r>
    <w:r w:rsidRPr="00097113">
      <w:rPr>
        <w:rFonts w:ascii="Arial" w:hAnsi="Arial" w:cs="Arial"/>
        <w:sz w:val="18"/>
      </w:rPr>
      <w:instrText xml:space="preserve"> PAGE   \* MERGEFORMAT </w:instrText>
    </w:r>
    <w:r w:rsidRPr="00097113">
      <w:rPr>
        <w:rFonts w:ascii="Arial" w:hAnsi="Arial" w:cs="Arial"/>
        <w:sz w:val="18"/>
      </w:rPr>
      <w:fldChar w:fldCharType="separate"/>
    </w:r>
    <w:r>
      <w:rPr>
        <w:rFonts w:ascii="Arial" w:hAnsi="Arial" w:cs="Arial"/>
        <w:sz w:val="18"/>
      </w:rPr>
      <w:t>1</w:t>
    </w:r>
    <w:r w:rsidRPr="00097113">
      <w:rPr>
        <w:rFonts w:ascii="Arial" w:hAnsi="Arial" w:cs="Arial"/>
        <w:noProof/>
        <w:sz w:val="18"/>
      </w:rPr>
      <w:fldChar w:fldCharType="end"/>
    </w:r>
    <w:r w:rsidRPr="0033264D">
      <w:rPr>
        <w:rFonts w:ascii="Arial" w:hAnsi="Arial" w:cs="Arial"/>
        <w:sz w:val="18"/>
      </w:rPr>
      <w:tab/>
    </w:r>
    <w:r w:rsidRPr="0033264D">
      <w:rPr>
        <w:rFonts w:ascii="Arial" w:hAnsi="Arial" w:cs="Arial"/>
        <w:sz w:val="14"/>
      </w:rPr>
      <w:t>©20</w:t>
    </w:r>
    <w:r>
      <w:rPr>
        <w:rFonts w:ascii="Arial" w:hAnsi="Arial" w:cs="Arial"/>
        <w:sz w:val="14"/>
      </w:rPr>
      <w:t>20</w:t>
    </w:r>
    <w:r w:rsidRPr="0033264D">
      <w:rPr>
        <w:rFonts w:ascii="Arial" w:hAnsi="Arial" w:cs="Arial"/>
        <w:sz w:val="14"/>
      </w:rPr>
      <w:t xml:space="preserve"> United Benefit Advisors, LLC.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14539" w14:textId="77777777" w:rsidR="00784032" w:rsidRDefault="00784032" w:rsidP="007F55CC">
      <w:pPr>
        <w:spacing w:after="0" w:line="240" w:lineRule="auto"/>
      </w:pPr>
      <w:r>
        <w:separator/>
      </w:r>
    </w:p>
  </w:footnote>
  <w:footnote w:type="continuationSeparator" w:id="0">
    <w:p w14:paraId="45D18143" w14:textId="77777777" w:rsidR="00784032" w:rsidRDefault="00784032" w:rsidP="007F5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31C5" w14:textId="25441CE6" w:rsidR="007F55CC" w:rsidRDefault="007F55CC">
    <w:pPr>
      <w:pStyle w:val="Header"/>
    </w:pPr>
    <w:r>
      <w:rPr>
        <w:noProof/>
      </w:rPr>
      <w:drawing>
        <wp:inline distT="0" distB="0" distL="0" distR="0" wp14:anchorId="41155E39" wp14:editId="7A183785">
          <wp:extent cx="5943600" cy="698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A_Mastheads_WordHeader_ACAAdviso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98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571F9"/>
    <w:multiLevelType w:val="hybridMultilevel"/>
    <w:tmpl w:val="4B62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8A"/>
    <w:rsid w:val="00064B20"/>
    <w:rsid w:val="00235DE4"/>
    <w:rsid w:val="00284BD4"/>
    <w:rsid w:val="003027E8"/>
    <w:rsid w:val="0035555B"/>
    <w:rsid w:val="00463288"/>
    <w:rsid w:val="00472A1E"/>
    <w:rsid w:val="0047604B"/>
    <w:rsid w:val="004D79A6"/>
    <w:rsid w:val="005C2454"/>
    <w:rsid w:val="005C433C"/>
    <w:rsid w:val="00624A77"/>
    <w:rsid w:val="00635613"/>
    <w:rsid w:val="006F773D"/>
    <w:rsid w:val="007751EA"/>
    <w:rsid w:val="00782F8A"/>
    <w:rsid w:val="00784032"/>
    <w:rsid w:val="007B66F7"/>
    <w:rsid w:val="007E352C"/>
    <w:rsid w:val="007F3E0C"/>
    <w:rsid w:val="007F55CC"/>
    <w:rsid w:val="009014C3"/>
    <w:rsid w:val="009B1BE0"/>
    <w:rsid w:val="00B03442"/>
    <w:rsid w:val="00B236EE"/>
    <w:rsid w:val="00B32907"/>
    <w:rsid w:val="00B46273"/>
    <w:rsid w:val="00B82CA0"/>
    <w:rsid w:val="00D053F0"/>
    <w:rsid w:val="00DA6DC6"/>
    <w:rsid w:val="00E25E5D"/>
    <w:rsid w:val="00E933E7"/>
    <w:rsid w:val="00F102D9"/>
    <w:rsid w:val="00FD3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31E3"/>
  <w15:chartTrackingRefBased/>
  <w15:docId w15:val="{A94CBE7C-5FF9-4886-BDAA-AEFFF0E3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5CC"/>
    <w:rPr>
      <w:rFonts w:ascii="Arial" w:hAnsi="Arial" w:cs="Arial"/>
      <w:color w:val="001BBA"/>
      <w:u w:val="single"/>
    </w:rPr>
  </w:style>
  <w:style w:type="character" w:styleId="UnresolvedMention">
    <w:name w:val="Unresolved Mention"/>
    <w:basedOn w:val="DefaultParagraphFont"/>
    <w:uiPriority w:val="99"/>
    <w:semiHidden/>
    <w:unhideWhenUsed/>
    <w:rsid w:val="00782F8A"/>
    <w:rPr>
      <w:color w:val="605E5C"/>
      <w:shd w:val="clear" w:color="auto" w:fill="E1DFDD"/>
    </w:rPr>
  </w:style>
  <w:style w:type="paragraph" w:styleId="Header">
    <w:name w:val="header"/>
    <w:basedOn w:val="Normal"/>
    <w:link w:val="HeaderChar"/>
    <w:uiPriority w:val="99"/>
    <w:unhideWhenUsed/>
    <w:rsid w:val="007F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5CC"/>
  </w:style>
  <w:style w:type="paragraph" w:styleId="Footer">
    <w:name w:val="footer"/>
    <w:basedOn w:val="Normal"/>
    <w:link w:val="FooterChar"/>
    <w:uiPriority w:val="99"/>
    <w:unhideWhenUsed/>
    <w:rsid w:val="007F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5CC"/>
  </w:style>
  <w:style w:type="table" w:styleId="TableGrid">
    <w:name w:val="Table Grid"/>
    <w:basedOn w:val="TableNormal"/>
    <w:uiPriority w:val="59"/>
    <w:rsid w:val="007F55C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66F7"/>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42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rs.gov/pub/irs-drop/n-20-76.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rs.gov/pub/irs-pdf/f880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4D221877FC494BB6494E7D48AFCB7C" ma:contentTypeVersion="13" ma:contentTypeDescription="Create a new document." ma:contentTypeScope="" ma:versionID="e1cfbb6cefa84e8ca9a2286eb47e4fd8">
  <xsd:schema xmlns:xsd="http://www.w3.org/2001/XMLSchema" xmlns:xs="http://www.w3.org/2001/XMLSchema" xmlns:p="http://schemas.microsoft.com/office/2006/metadata/properties" xmlns:ns3="817ae9b1-cf1b-4a34-8848-24e5ebb299e6" xmlns:ns4="49fe7421-8184-4f20-84e8-ffb0d0a76087" targetNamespace="http://schemas.microsoft.com/office/2006/metadata/properties" ma:root="true" ma:fieldsID="022e58650a0616ad17870cd5244eac19" ns3:_="" ns4:_="">
    <xsd:import namespace="817ae9b1-cf1b-4a34-8848-24e5ebb299e6"/>
    <xsd:import namespace="49fe7421-8184-4f20-84e8-ffb0d0a7608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ae9b1-cf1b-4a34-8848-24e5ebb29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fe7421-8184-4f20-84e8-ffb0d0a760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5A6EAE-FB22-4245-A679-2EFAD6AE5B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74AA0E-BC92-4B58-BE4B-1E58A5455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ae9b1-cf1b-4a34-8848-24e5ebb299e6"/>
    <ds:schemaRef ds:uri="49fe7421-8184-4f20-84e8-ffb0d0a76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752D10-6B03-480A-8630-39A0A789D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 Advisor - IRS Notice 2020-76</dc:title>
  <dc:subject/>
  <dc:creator>Matthew Meidell</dc:creator>
  <cp:keywords/>
  <dc:description/>
  <cp:lastModifiedBy>Deanna Sizemore</cp:lastModifiedBy>
  <cp:revision>2</cp:revision>
  <dcterms:created xsi:type="dcterms:W3CDTF">2020-10-21T15:25:00Z</dcterms:created>
  <dcterms:modified xsi:type="dcterms:W3CDTF">2020-10-21T15:25:00Z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0x010100EF4D221877FC494BB6494E7D48AFCB7C</vt:lpwstr>
  </property>
</Properties>
</file>